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D2D" w:rsidRDefault="00C43484">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ascii="Arial" w:hAnsi="Arial" w:cs="Arial" w:hint="eastAsia"/>
          <w:b/>
          <w:color w:val="000000"/>
          <w:kern w:val="2"/>
          <w:sz w:val="24"/>
          <w:lang w:val="en-US"/>
        </w:rPr>
        <w:t xml:space="preserve"> WG2 Meeting #120</w:t>
      </w:r>
      <w:r>
        <w:rPr>
          <w:rFonts w:ascii="Arial" w:hAnsi="Arial" w:cs="Arial"/>
          <w:b/>
          <w:color w:val="000000"/>
          <w:kern w:val="2"/>
          <w:sz w:val="24"/>
          <w:lang w:val="en-US"/>
        </w:rPr>
        <w:tab/>
        <w:t xml:space="preserve"> </w:t>
      </w:r>
      <w:r w:rsidR="002C68CF" w:rsidRPr="002C68CF">
        <w:rPr>
          <w:rFonts w:ascii="Arial" w:hAnsi="Arial" w:cs="Arial"/>
          <w:b/>
          <w:color w:val="000000"/>
          <w:kern w:val="2"/>
          <w:sz w:val="24"/>
          <w:lang w:val="en-US"/>
        </w:rPr>
        <w:t>R2-221274</w:t>
      </w:r>
      <w:r w:rsidR="00E57C46">
        <w:rPr>
          <w:rFonts w:ascii="Arial" w:hAnsi="Arial" w:cs="Arial"/>
          <w:b/>
          <w:color w:val="000000"/>
          <w:kern w:val="2"/>
          <w:sz w:val="24"/>
          <w:lang w:val="en-US"/>
        </w:rPr>
        <w:t>0</w:t>
      </w:r>
    </w:p>
    <w:p w:rsidR="00C00320" w:rsidRDefault="00C00320" w:rsidP="00C00320">
      <w:pPr>
        <w:tabs>
          <w:tab w:val="left" w:pos="1979"/>
        </w:tabs>
        <w:spacing w:after="180" w:line="240" w:lineRule="auto"/>
        <w:rPr>
          <w:rFonts w:ascii="Arial" w:hAnsi="Arial" w:cs="Arial"/>
          <w:b/>
          <w:color w:val="000000"/>
          <w:kern w:val="2"/>
          <w:sz w:val="24"/>
          <w:lang w:val="en-US"/>
        </w:rPr>
      </w:pPr>
      <w:r w:rsidRPr="00DD5A21">
        <w:rPr>
          <w:rFonts w:ascii="Arial" w:hAnsi="Arial" w:cs="Arial"/>
          <w:b/>
          <w:color w:val="000000"/>
          <w:kern w:val="2"/>
          <w:sz w:val="24"/>
          <w:lang w:val="en-US"/>
        </w:rPr>
        <w:t>Toulouse, France, 14</w:t>
      </w:r>
      <w:r w:rsidRPr="00B26798">
        <w:rPr>
          <w:rFonts w:ascii="Arial" w:hAnsi="Arial" w:cs="Arial"/>
          <w:b/>
          <w:color w:val="000000"/>
          <w:kern w:val="2"/>
          <w:sz w:val="24"/>
          <w:vertAlign w:val="superscript"/>
          <w:lang w:val="en-US"/>
        </w:rPr>
        <w:t>th</w:t>
      </w:r>
      <w:r w:rsidRPr="00DD5A21">
        <w:rPr>
          <w:rFonts w:ascii="Arial" w:hAnsi="Arial" w:cs="Arial"/>
          <w:b/>
          <w:color w:val="000000"/>
          <w:kern w:val="2"/>
          <w:sz w:val="24"/>
          <w:lang w:val="en-US"/>
        </w:rPr>
        <w:t xml:space="preserve"> </w:t>
      </w:r>
      <w:r>
        <w:rPr>
          <w:rFonts w:ascii="Arial" w:hAnsi="Arial" w:cs="Arial"/>
          <w:b/>
          <w:color w:val="000000"/>
          <w:kern w:val="2"/>
          <w:sz w:val="24"/>
          <w:lang w:val="en-US"/>
        </w:rPr>
        <w:t>–</w:t>
      </w:r>
      <w:r w:rsidRPr="00DD5A21">
        <w:rPr>
          <w:rFonts w:ascii="Arial" w:hAnsi="Arial" w:cs="Arial"/>
          <w:b/>
          <w:color w:val="000000"/>
          <w:kern w:val="2"/>
          <w:sz w:val="24"/>
          <w:lang w:val="en-US"/>
        </w:rPr>
        <w:t xml:space="preserve"> 18</w:t>
      </w:r>
      <w:r w:rsidRPr="00B26798">
        <w:rPr>
          <w:rFonts w:ascii="Arial" w:hAnsi="Arial" w:cs="Arial"/>
          <w:b/>
          <w:color w:val="000000"/>
          <w:kern w:val="2"/>
          <w:sz w:val="24"/>
          <w:vertAlign w:val="superscript"/>
          <w:lang w:val="en-US"/>
        </w:rPr>
        <w:t>th</w:t>
      </w:r>
      <w:r w:rsidRPr="00DD5A21">
        <w:rPr>
          <w:rFonts w:ascii="Arial" w:hAnsi="Arial" w:cs="Arial"/>
          <w:b/>
          <w:color w:val="000000"/>
          <w:kern w:val="2"/>
          <w:sz w:val="24"/>
          <w:lang w:val="en-US"/>
        </w:rPr>
        <w:t xml:space="preserve"> November 2022</w:t>
      </w:r>
    </w:p>
    <w:p w:rsidR="00B66D2D" w:rsidRDefault="00C43484">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Pr>
          <w:rFonts w:ascii="Arial" w:hAnsi="Arial" w:cs="Arial"/>
          <w:b/>
          <w:bCs/>
          <w:sz w:val="24"/>
          <w:lang w:val="en-US"/>
        </w:rPr>
        <w:t>8</w:t>
      </w:r>
      <w:r>
        <w:rPr>
          <w:rFonts w:ascii="Arial" w:hAnsi="Arial" w:cs="Arial" w:hint="eastAsia"/>
          <w:b/>
          <w:bCs/>
          <w:sz w:val="24"/>
          <w:lang w:val="en-US"/>
        </w:rPr>
        <w:t>.</w:t>
      </w:r>
      <w:r>
        <w:rPr>
          <w:rFonts w:ascii="Arial" w:hAnsi="Arial" w:cs="Arial"/>
          <w:b/>
          <w:bCs/>
          <w:sz w:val="24"/>
          <w:lang w:val="en-US"/>
        </w:rPr>
        <w:t>11</w:t>
      </w:r>
      <w:r>
        <w:rPr>
          <w:rFonts w:ascii="Arial" w:hAnsi="Arial" w:cs="Arial" w:hint="eastAsia"/>
          <w:b/>
          <w:bCs/>
          <w:sz w:val="24"/>
          <w:lang w:val="en-US"/>
        </w:rPr>
        <w:t>.</w:t>
      </w:r>
      <w:r>
        <w:rPr>
          <w:rFonts w:ascii="Arial" w:hAnsi="Arial" w:cs="Arial"/>
          <w:b/>
          <w:bCs/>
          <w:sz w:val="24"/>
          <w:lang w:val="en-US"/>
        </w:rPr>
        <w:t>4</w:t>
      </w:r>
    </w:p>
    <w:p w:rsidR="00B66D2D" w:rsidRDefault="00C43484">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rsidR="00B66D2D" w:rsidRDefault="00C43484">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t xml:space="preserve">Discussion on the </w:t>
      </w:r>
      <w:r>
        <w:rPr>
          <w:rFonts w:ascii="Arial" w:hAnsi="Arial" w:cs="Arial"/>
          <w:b/>
          <w:bCs/>
          <w:sz w:val="24"/>
          <w:lang w:val="en-US"/>
        </w:rPr>
        <w:t>“</w:t>
      </w:r>
      <w:r>
        <w:rPr>
          <w:rFonts w:ascii="Arial" w:hAnsi="Arial" w:cs="Arial" w:hint="eastAsia"/>
          <w:b/>
          <w:bCs/>
          <w:sz w:val="24"/>
          <w:lang w:val="en-US"/>
        </w:rPr>
        <w:t>LS on resource efficiency for MBS reception in RAN sharing scenario</w:t>
      </w:r>
      <w:r>
        <w:rPr>
          <w:rFonts w:ascii="Arial" w:hAnsi="Arial" w:cs="Arial" w:hint="eastAsia"/>
          <w:b/>
          <w:bCs/>
          <w:sz w:val="24"/>
          <w:lang w:val="en-US"/>
        </w:rPr>
        <w:t>”</w:t>
      </w:r>
      <w:r>
        <w:rPr>
          <w:rFonts w:ascii="Arial" w:hAnsi="Arial" w:cs="Arial" w:hint="eastAsia"/>
          <w:b/>
          <w:bCs/>
          <w:sz w:val="24"/>
          <w:lang w:val="en-US"/>
        </w:rPr>
        <w:t xml:space="preserve"> from RAN3 (R3-226084)</w:t>
      </w:r>
    </w:p>
    <w:p w:rsidR="00B66D2D" w:rsidRDefault="00C43484">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rsidR="00B66D2D" w:rsidRDefault="00C43484">
      <w:pPr>
        <w:pStyle w:val="1"/>
        <w:rPr>
          <w:lang w:val="en-US"/>
        </w:rPr>
      </w:pPr>
      <w:bookmarkStart w:id="1" w:name="_Ref165266342"/>
      <w:r>
        <w:t>Introduction</w:t>
      </w:r>
      <w:bookmarkEnd w:id="1"/>
    </w:p>
    <w:p w:rsidR="00B66D2D" w:rsidRDefault="00C43484">
      <w:pPr>
        <w:spacing w:before="100" w:beforeAutospacing="1" w:after="180" w:line="240" w:lineRule="auto"/>
        <w:ind w:right="-99"/>
        <w:rPr>
          <w:szCs w:val="22"/>
          <w:lang w:val="en-US"/>
        </w:rPr>
      </w:pPr>
      <w:bookmarkStart w:id="2" w:name="OLE_LINK8"/>
      <w:bookmarkStart w:id="3" w:name="OLE_LINK3"/>
      <w:bookmarkStart w:id="4" w:name="OLE_LINK6"/>
      <w:bookmarkStart w:id="5" w:name="OLE_LINK4"/>
      <w:r>
        <w:rPr>
          <w:szCs w:val="22"/>
          <w:lang w:val="en-US"/>
        </w:rPr>
        <w:t>Based on the progress of Rel-18 NR MBS aspects for resource efficiency of MBS reception in RAN sharing scenario, in RAN3#117bis-e meeting, RAN3 sent an LS [1] to RAN2, asking RAN2 to answer the included questions.</w:t>
      </w:r>
    </w:p>
    <w:p w:rsidR="00B66D2D" w:rsidRDefault="00C43484">
      <w:pPr>
        <w:spacing w:before="100" w:beforeAutospacing="1" w:after="180" w:line="240" w:lineRule="auto"/>
        <w:ind w:right="-99"/>
      </w:pPr>
      <w:r>
        <w:rPr>
          <w:szCs w:val="22"/>
          <w:lang w:val="en-US"/>
        </w:rPr>
        <w:t>In this contribution, we will discuss the related aspects and provide our view on RAN2 feedback to RAN3.</w:t>
      </w:r>
    </w:p>
    <w:p w:rsidR="00B66D2D" w:rsidRDefault="00C43484">
      <w:pPr>
        <w:pStyle w:val="1"/>
        <w:rPr>
          <w:lang w:val="en-US"/>
        </w:rPr>
      </w:pPr>
      <w:r>
        <w:t xml:space="preserve"> Discussio</w:t>
      </w:r>
      <w:r>
        <w:rPr>
          <w:rFonts w:hint="eastAsia"/>
          <w:lang w:val="en-US"/>
        </w:rPr>
        <w:t>n</w:t>
      </w:r>
    </w:p>
    <w:p w:rsidR="00B66D2D" w:rsidRDefault="00C43484">
      <w:pPr>
        <w:spacing w:line="360" w:lineRule="auto"/>
        <w:rPr>
          <w:rFonts w:eastAsiaTheme="minorEastAsia"/>
        </w:rPr>
      </w:pPr>
      <w:r>
        <w:rPr>
          <w:rFonts w:eastAsiaTheme="minorEastAsia"/>
        </w:rPr>
        <w:t xml:space="preserve">The RAN3 questions on the </w:t>
      </w:r>
      <w:r>
        <w:rPr>
          <w:szCs w:val="22"/>
          <w:lang w:val="en-US"/>
        </w:rPr>
        <w:t>resource efficiency of MBS reception in RAN sharing scenario</w:t>
      </w:r>
      <w:r>
        <w:rPr>
          <w:rFonts w:eastAsiaTheme="minorEastAsia"/>
        </w:rPr>
        <w:t xml:space="preserve"> are copied as below, we will discuss these one by one.</w:t>
      </w:r>
    </w:p>
    <w:p w:rsidR="00B66D2D" w:rsidRDefault="00C43484">
      <w:pPr>
        <w:pBdr>
          <w:top w:val="single" w:sz="4" w:space="1" w:color="auto"/>
          <w:left w:val="single" w:sz="4" w:space="4" w:color="auto"/>
          <w:bottom w:val="single" w:sz="4" w:space="1" w:color="auto"/>
          <w:right w:val="single" w:sz="4" w:space="4" w:color="auto"/>
        </w:pBdr>
        <w:rPr>
          <w:sz w:val="24"/>
          <w:lang w:val="en-US"/>
        </w:rPr>
      </w:pPr>
      <w:r>
        <w:t xml:space="preserve">RAN3 has started to work on Rel-18 NR MBS aspects for </w:t>
      </w:r>
      <w:r>
        <w:rPr>
          <w:rFonts w:hint="eastAsia"/>
        </w:rPr>
        <w:t xml:space="preserve">resource efficiency </w:t>
      </w:r>
      <w:r>
        <w:t>of</w:t>
      </w:r>
      <w:r>
        <w:rPr>
          <w:rFonts w:hint="eastAsia"/>
        </w:rPr>
        <w:t xml:space="preserve"> MBS reception in RAN sharing scenario and </w:t>
      </w:r>
      <w:r>
        <w:t>would like to ask the following:</w:t>
      </w:r>
    </w:p>
    <w:p w:rsidR="00B66D2D" w:rsidRDefault="00C43484">
      <w:pPr>
        <w:pBdr>
          <w:top w:val="single" w:sz="4" w:space="1" w:color="auto"/>
          <w:left w:val="single" w:sz="4" w:space="4" w:color="auto"/>
          <w:bottom w:val="single" w:sz="4" w:space="1" w:color="auto"/>
          <w:right w:val="single" w:sz="4" w:space="4" w:color="auto"/>
        </w:pBdr>
      </w:pPr>
      <w:r>
        <w:t>(1) Does RRC support in Rel-17 configuration of an MBS broadcast session, which is associated with multiple TMGIs?</w:t>
      </w:r>
    </w:p>
    <w:p w:rsidR="00B66D2D" w:rsidRDefault="00C43484">
      <w:pPr>
        <w:pBdr>
          <w:top w:val="single" w:sz="4" w:space="1" w:color="auto"/>
          <w:left w:val="single" w:sz="4" w:space="4" w:color="auto"/>
          <w:bottom w:val="single" w:sz="4" w:space="1" w:color="auto"/>
          <w:right w:val="single" w:sz="4" w:space="4" w:color="auto"/>
        </w:pBdr>
      </w:pPr>
      <w:r>
        <w:t>(2) RRC supports the indication whether a neighbour cell provides the broadcast service on MTCH</w:t>
      </w:r>
      <w:r>
        <w:rPr>
          <w:rFonts w:hint="eastAsia"/>
        </w:rPr>
        <w:t xml:space="preserve">. </w:t>
      </w:r>
      <w:r>
        <w:t xml:space="preserve">Given the size of the </w:t>
      </w:r>
      <w:r>
        <w:rPr>
          <w:i/>
          <w:iCs/>
        </w:rPr>
        <w:t>mbs-NeighbourCellList</w:t>
      </w:r>
      <w:r>
        <w:t xml:space="preserve"> </w:t>
      </w:r>
      <w:r>
        <w:rPr>
          <w:rFonts w:hint="eastAsia"/>
        </w:rPr>
        <w:t>to</w:t>
      </w:r>
      <w:r>
        <w:t xml:space="preserve"> which the </w:t>
      </w:r>
      <w:r>
        <w:rPr>
          <w:i/>
          <w:iCs/>
        </w:rPr>
        <w:t>mtch-NeighbourCell</w:t>
      </w:r>
      <w:r>
        <w:rPr>
          <w:color w:val="002060"/>
        </w:rPr>
        <w:t xml:space="preserve"> </w:t>
      </w:r>
      <w:r>
        <w:t xml:space="preserve">in each </w:t>
      </w:r>
      <w:r>
        <w:rPr>
          <w:i/>
          <w:iCs/>
        </w:rPr>
        <w:t>MBS-SessionInfo</w:t>
      </w:r>
      <w:r>
        <w:rPr>
          <w:color w:val="002060"/>
        </w:rPr>
        <w:t xml:space="preserve"> </w:t>
      </w:r>
      <w:r>
        <w:t>item refers to, it is possible that not all neighbour cells can be indicat</w:t>
      </w:r>
      <w:r>
        <w:rPr>
          <w:rFonts w:hint="eastAsia"/>
        </w:rPr>
        <w:t xml:space="preserve">ed. </w:t>
      </w:r>
      <w:r>
        <w:t>This</w:t>
      </w:r>
      <w:r>
        <w:rPr>
          <w:rFonts w:hint="eastAsia"/>
        </w:rPr>
        <w:t xml:space="preserve"> size-limitation would</w:t>
      </w:r>
      <w:r>
        <w:t xml:space="preserve"> </w:t>
      </w:r>
      <w:r>
        <w:rPr>
          <w:rFonts w:hint="eastAsia"/>
        </w:rPr>
        <w:t>presumably</w:t>
      </w:r>
      <w:r>
        <w:t xml:space="preserve"> be more acute in RAN sharing scenarios, at the border between a shared area and a non-shared area or similar. Can it be assumed that service continuity is also supported towards a neighbour cell not indicated in th</w:t>
      </w:r>
      <w:r>
        <w:rPr>
          <w:color w:val="002060"/>
        </w:rPr>
        <w:t xml:space="preserve">e </w:t>
      </w:r>
      <w:r>
        <w:rPr>
          <w:i/>
          <w:iCs/>
        </w:rPr>
        <w:t>mbs-NeighbourCellList</w:t>
      </w:r>
      <w:r>
        <w:rPr>
          <w:rFonts w:hint="eastAsia"/>
          <w:color w:val="002060"/>
        </w:rPr>
        <w:t>?</w:t>
      </w:r>
    </w:p>
    <w:p w:rsidR="00B66D2D" w:rsidRDefault="00C43484">
      <w:pPr>
        <w:pBdr>
          <w:top w:val="single" w:sz="4" w:space="1" w:color="auto"/>
          <w:left w:val="single" w:sz="4" w:space="4" w:color="auto"/>
          <w:bottom w:val="single" w:sz="4" w:space="1" w:color="auto"/>
          <w:right w:val="single" w:sz="4" w:space="4" w:color="auto"/>
        </w:pBdr>
      </w:pPr>
      <w:r>
        <w:t>(3) Is there any significant limitation from RRC point of view if the TMGI as received by the 5GC contains a PLMN/SNPN ID not broadcast in SIB1?</w:t>
      </w:r>
    </w:p>
    <w:p w:rsidR="00B66D2D" w:rsidRDefault="00B66D2D">
      <w:pPr>
        <w:spacing w:line="360" w:lineRule="auto"/>
        <w:rPr>
          <w:rFonts w:eastAsiaTheme="minorEastAsia"/>
        </w:rPr>
      </w:pPr>
    </w:p>
    <w:p w:rsidR="00B66D2D" w:rsidRDefault="00C43484">
      <w:pPr>
        <w:spacing w:line="360" w:lineRule="auto"/>
        <w:rPr>
          <w:rFonts w:eastAsiaTheme="minorEastAsia"/>
          <w:b/>
        </w:rPr>
      </w:pPr>
      <w:r>
        <w:rPr>
          <w:rFonts w:eastAsiaTheme="minorEastAsia" w:hint="eastAsia"/>
          <w:b/>
        </w:rPr>
        <w:t>F</w:t>
      </w:r>
      <w:r>
        <w:rPr>
          <w:rFonts w:eastAsiaTheme="minorEastAsia"/>
          <w:b/>
        </w:rPr>
        <w:t>or RAN3 Q1:</w:t>
      </w:r>
    </w:p>
    <w:p w:rsidR="00B66D2D" w:rsidRDefault="00C43484">
      <w:pPr>
        <w:spacing w:line="360" w:lineRule="auto"/>
        <w:rPr>
          <w:rFonts w:eastAsiaTheme="minorEastAsia"/>
        </w:rPr>
      </w:pPr>
      <w:r>
        <w:rPr>
          <w:rFonts w:eastAsiaTheme="minorEastAsia"/>
          <w:lang w:val="en-US"/>
        </w:rPr>
        <w:t>In Rel-17, MBS session is denoted by only one MBS session identifier (i.e. TMGI)</w:t>
      </w:r>
      <w:r w:rsidR="00434FAC">
        <w:rPr>
          <w:rFonts w:eastAsiaTheme="minorEastAsia"/>
          <w:lang w:val="en-US"/>
        </w:rPr>
        <w:t xml:space="preserve">, as the </w:t>
      </w:r>
      <w:r w:rsidR="00434FAC">
        <w:t>relevant ASN.1 signalling shown below</w:t>
      </w:r>
      <w:r>
        <w:rPr>
          <w:rFonts w:eastAsiaTheme="minorEastAsia"/>
          <w:lang w:val="en-US"/>
        </w:rPr>
        <w:t>. Therefore, the answer to this question is No.</w:t>
      </w:r>
    </w:p>
    <w:p w:rsidR="00B66D2D" w:rsidRDefault="00C43484">
      <w:pPr>
        <w:pStyle w:val="TH"/>
        <w:rPr>
          <w:b w:val="0"/>
        </w:rPr>
      </w:pPr>
      <w:r>
        <w:rPr>
          <w:i/>
        </w:rPr>
        <w:t>MBS-SessionInfoList</w:t>
      </w:r>
      <w:r>
        <w:t xml:space="preserve"> information element</w:t>
      </w:r>
    </w:p>
    <w:p w:rsidR="00B66D2D" w:rsidRDefault="00C43484">
      <w:pPr>
        <w:pStyle w:val="PL"/>
        <w:rPr>
          <w:color w:val="808080"/>
        </w:rPr>
      </w:pPr>
      <w:r>
        <w:rPr>
          <w:color w:val="808080"/>
        </w:rPr>
        <w:t>-- ASN1START</w:t>
      </w:r>
    </w:p>
    <w:p w:rsidR="00B66D2D" w:rsidRDefault="00C43484">
      <w:pPr>
        <w:pStyle w:val="PL"/>
        <w:rPr>
          <w:color w:val="808080"/>
        </w:rPr>
      </w:pPr>
      <w:r>
        <w:rPr>
          <w:color w:val="808080"/>
        </w:rPr>
        <w:t>-- TAG-MBS-SESSIONINFOLIST-START</w:t>
      </w:r>
    </w:p>
    <w:p w:rsidR="00B66D2D" w:rsidRDefault="00B66D2D">
      <w:pPr>
        <w:pStyle w:val="PL"/>
      </w:pPr>
    </w:p>
    <w:p w:rsidR="00B66D2D" w:rsidRDefault="00C43484">
      <w:pPr>
        <w:pStyle w:val="PL"/>
      </w:pPr>
      <w:r>
        <w:t xml:space="preserve">MBS-SessionInfoList-r17 ::=      </w:t>
      </w:r>
      <w:r>
        <w:rPr>
          <w:color w:val="993366"/>
        </w:rPr>
        <w:t>SEQUENCE</w:t>
      </w:r>
      <w:r>
        <w:t xml:space="preserve"> (</w:t>
      </w:r>
      <w:r>
        <w:rPr>
          <w:color w:val="993366"/>
        </w:rPr>
        <w:t>SIZE</w:t>
      </w:r>
      <w:r>
        <w:t xml:space="preserve"> (1..maxNrofMBS-Session-r17))</w:t>
      </w:r>
      <w:r>
        <w:rPr>
          <w:color w:val="993366"/>
        </w:rPr>
        <w:t xml:space="preserve"> OF</w:t>
      </w:r>
      <w:r>
        <w:t xml:space="preserve"> MBS-SessionInfo-r17</w:t>
      </w:r>
    </w:p>
    <w:p w:rsidR="00B66D2D" w:rsidRDefault="00B66D2D">
      <w:pPr>
        <w:pStyle w:val="PL"/>
      </w:pPr>
    </w:p>
    <w:p w:rsidR="00B66D2D" w:rsidRDefault="00C43484">
      <w:pPr>
        <w:pStyle w:val="PL"/>
      </w:pPr>
      <w:r>
        <w:t xml:space="preserve">MBS-SessionInfo-r17 ::=          </w:t>
      </w:r>
      <w:r>
        <w:rPr>
          <w:color w:val="993366"/>
        </w:rPr>
        <w:t>SEQUENCE</w:t>
      </w:r>
      <w:r>
        <w:t xml:space="preserve"> {</w:t>
      </w:r>
    </w:p>
    <w:p w:rsidR="00B66D2D" w:rsidRDefault="00C43484">
      <w:pPr>
        <w:pStyle w:val="PL"/>
      </w:pPr>
      <w:r>
        <w:t xml:space="preserve">    mbs-SessionId-r17                TMGI-r17,</w:t>
      </w:r>
    </w:p>
    <w:p w:rsidR="00B66D2D" w:rsidRDefault="00C43484">
      <w:pPr>
        <w:pStyle w:val="PL"/>
      </w:pPr>
      <w:r>
        <w:t xml:space="preserve">    g-RNTI-r17                       RNTI-Value,</w:t>
      </w:r>
    </w:p>
    <w:p w:rsidR="00B66D2D" w:rsidRDefault="00C43484">
      <w:pPr>
        <w:pStyle w:val="PL"/>
      </w:pPr>
      <w:r>
        <w:t xml:space="preserve">    mrb-ListBroadcast-r17            MRB-ListBroadcast-r17,</w:t>
      </w:r>
    </w:p>
    <w:p w:rsidR="00B66D2D" w:rsidRDefault="00C43484">
      <w:pPr>
        <w:pStyle w:val="PL"/>
        <w:rPr>
          <w:color w:val="808080"/>
        </w:rPr>
      </w:pPr>
      <w:r>
        <w:t xml:space="preserve">    mtch-SchedulingInfo-r17          DRX-ConfigPTM-Index-r17                      </w:t>
      </w:r>
      <w:r>
        <w:rPr>
          <w:color w:val="993366"/>
        </w:rPr>
        <w:t>OPTIONAL</w:t>
      </w:r>
      <w:r>
        <w:t xml:space="preserve">, </w:t>
      </w:r>
      <w:r>
        <w:rPr>
          <w:color w:val="808080"/>
        </w:rPr>
        <w:t>-- Need S</w:t>
      </w:r>
    </w:p>
    <w:p w:rsidR="00B66D2D" w:rsidRDefault="00C43484">
      <w:pPr>
        <w:pStyle w:val="PL"/>
        <w:rPr>
          <w:color w:val="808080"/>
        </w:rPr>
      </w:pPr>
      <w:r>
        <w:t xml:space="preserve">    mtch-NeighbourCell-r17           </w:t>
      </w:r>
      <w:r>
        <w:rPr>
          <w:color w:val="993366"/>
        </w:rPr>
        <w:t>BIT</w:t>
      </w:r>
      <w:r>
        <w:t xml:space="preserve"> </w:t>
      </w:r>
      <w:r>
        <w:rPr>
          <w:color w:val="993366"/>
        </w:rPr>
        <w:t>STRING</w:t>
      </w:r>
      <w:r>
        <w:t xml:space="preserve"> (</w:t>
      </w:r>
      <w:r>
        <w:rPr>
          <w:color w:val="993366"/>
        </w:rPr>
        <w:t>SIZE</w:t>
      </w:r>
      <w:r>
        <w:t xml:space="preserve">(maxNeighCellMBS-r17))       </w:t>
      </w:r>
      <w:r>
        <w:rPr>
          <w:color w:val="993366"/>
        </w:rPr>
        <w:t>OPTIONAL</w:t>
      </w:r>
      <w:r>
        <w:t xml:space="preserve">, </w:t>
      </w:r>
      <w:r>
        <w:rPr>
          <w:color w:val="808080"/>
        </w:rPr>
        <w:t>-- Need S</w:t>
      </w:r>
    </w:p>
    <w:p w:rsidR="00B66D2D" w:rsidRDefault="00C43484">
      <w:pPr>
        <w:pStyle w:val="PL"/>
        <w:rPr>
          <w:color w:val="808080"/>
        </w:rPr>
      </w:pPr>
      <w:r>
        <w:t xml:space="preserve">    pdsch-ConfigIndex-r17            PDSCH-ConfigIndex-r17                        </w:t>
      </w:r>
      <w:r>
        <w:rPr>
          <w:color w:val="993366"/>
        </w:rPr>
        <w:t>OPTIONAL</w:t>
      </w:r>
      <w:r>
        <w:t xml:space="preserve">, </w:t>
      </w:r>
      <w:r>
        <w:rPr>
          <w:color w:val="808080"/>
        </w:rPr>
        <w:t>-- Need S</w:t>
      </w:r>
    </w:p>
    <w:p w:rsidR="00B66D2D" w:rsidRDefault="00C43484">
      <w:pPr>
        <w:pStyle w:val="PL"/>
        <w:rPr>
          <w:color w:val="808080"/>
        </w:rPr>
      </w:pPr>
      <w:r>
        <w:t xml:space="preserve">    mtch-SSB-MappingWindowIndex-r17  MTCH-SSB-MappingWindowIndex-r17              </w:t>
      </w:r>
      <w:r>
        <w:rPr>
          <w:color w:val="993366"/>
        </w:rPr>
        <w:t>OPTIONAL</w:t>
      </w:r>
      <w:r>
        <w:t xml:space="preserve">  </w:t>
      </w:r>
      <w:r>
        <w:rPr>
          <w:color w:val="808080"/>
        </w:rPr>
        <w:t>-- Need R</w:t>
      </w:r>
    </w:p>
    <w:p w:rsidR="00B66D2D" w:rsidRDefault="00C43484">
      <w:pPr>
        <w:pStyle w:val="PL"/>
      </w:pPr>
      <w:r>
        <w:t>}</w:t>
      </w:r>
    </w:p>
    <w:p w:rsidR="00B66D2D" w:rsidRDefault="00C43484">
      <w:pPr>
        <w:pStyle w:val="PL"/>
      </w:pPr>
      <w:r>
        <w:rPr>
          <w:rFonts w:asciiTheme="minorEastAsia" w:eastAsiaTheme="minorEastAsia" w:hAnsiTheme="minorEastAsia"/>
          <w:lang w:eastAsia="zh-CN"/>
        </w:rPr>
        <w:t>…</w:t>
      </w:r>
    </w:p>
    <w:p w:rsidR="00B66D2D" w:rsidRDefault="00B66D2D">
      <w:pPr>
        <w:spacing w:line="360" w:lineRule="auto"/>
        <w:rPr>
          <w:rFonts w:eastAsiaTheme="minorEastAsia"/>
        </w:rPr>
      </w:pPr>
    </w:p>
    <w:p w:rsidR="00B66D2D" w:rsidRDefault="00C43484">
      <w:pPr>
        <w:spacing w:line="360" w:lineRule="auto"/>
        <w:rPr>
          <w:rFonts w:eastAsiaTheme="minorEastAsia"/>
          <w:b/>
        </w:rPr>
      </w:pPr>
      <w:r>
        <w:rPr>
          <w:rFonts w:eastAsiaTheme="minorEastAsia"/>
          <w:b/>
        </w:rPr>
        <w:t>For RAN3 Q2:</w:t>
      </w:r>
    </w:p>
    <w:p w:rsidR="00B66D2D" w:rsidRDefault="00C43484">
      <w:pPr>
        <w:spacing w:line="360" w:lineRule="auto"/>
        <w:rPr>
          <w:rFonts w:eastAsiaTheme="minorEastAsia"/>
        </w:rPr>
      </w:pPr>
      <w:r>
        <w:rPr>
          <w:rFonts w:eastAsiaTheme="minorEastAsia"/>
        </w:rPr>
        <w:t xml:space="preserve">In Rel-17, </w:t>
      </w:r>
      <w:r>
        <w:rPr>
          <w:rFonts w:eastAsiaTheme="minorEastAsia"/>
          <w:i/>
        </w:rPr>
        <w:t>mbs-NeighbourCellList</w:t>
      </w:r>
      <w:r>
        <w:rPr>
          <w:rFonts w:eastAsiaTheme="minorEastAsia"/>
        </w:rPr>
        <w:t xml:space="preserve"> </w:t>
      </w:r>
      <w:r>
        <w:t>provides a list of neighbour cells where ongoing MBS sessions provided via broadcast MRB in the current cells are also provided</w:t>
      </w:r>
      <w:r>
        <w:rPr>
          <w:rFonts w:eastAsiaTheme="minorEastAsia"/>
        </w:rPr>
        <w:t xml:space="preserve">. If a neighbour cell is not indicated in the </w:t>
      </w:r>
      <w:r>
        <w:rPr>
          <w:rFonts w:eastAsiaTheme="minorEastAsia"/>
          <w:i/>
        </w:rPr>
        <w:t>mbs-NeighbourCellList</w:t>
      </w:r>
      <w:r>
        <w:rPr>
          <w:rFonts w:eastAsiaTheme="minorEastAsia"/>
        </w:rPr>
        <w:t>, UE cannot determine the presence or absence of an MBS service in this neighbour cell. Therefore, the answer to this question is No.</w:t>
      </w:r>
    </w:p>
    <w:p w:rsidR="00A759E5" w:rsidRDefault="00C43484">
      <w:pPr>
        <w:spacing w:line="360" w:lineRule="auto"/>
        <w:rPr>
          <w:iCs/>
        </w:rPr>
      </w:pPr>
      <w:r>
        <w:rPr>
          <w:rFonts w:eastAsiaTheme="minorEastAsia"/>
        </w:rPr>
        <w:t xml:space="preserve">Besides, in this question, RAN3 pointed out that there is size-limitation for </w:t>
      </w:r>
      <w:r>
        <w:rPr>
          <w:i/>
          <w:iCs/>
        </w:rPr>
        <w:t xml:space="preserve">mbs-NeighbourCellList </w:t>
      </w:r>
      <w:r>
        <w:rPr>
          <w:iCs/>
        </w:rPr>
        <w:t>to include all neighbour cells. Actually, from RAN2 point of view, as this IE is signalled via the MCCH which supports the UM RLC configuration and can be segmented</w:t>
      </w:r>
      <w:r w:rsidR="004F04F7">
        <w:rPr>
          <w:iCs/>
        </w:rPr>
        <w:t>. The only limitation is the PDCP SDU size and currently t</w:t>
      </w:r>
      <w:r w:rsidR="004F04F7" w:rsidRPr="004F04F7">
        <w:rPr>
          <w:iCs/>
        </w:rPr>
        <w:t xml:space="preserve">he maximum supported size of a PDCP </w:t>
      </w:r>
      <w:r w:rsidR="004F04F7">
        <w:rPr>
          <w:iCs/>
        </w:rPr>
        <w:t>SDU</w:t>
      </w:r>
      <w:r w:rsidR="004F04F7" w:rsidRPr="004F04F7">
        <w:rPr>
          <w:iCs/>
        </w:rPr>
        <w:t xml:space="preserve"> is 9000 bytes</w:t>
      </w:r>
      <w:r>
        <w:rPr>
          <w:iCs/>
        </w:rPr>
        <w:t xml:space="preserve">. </w:t>
      </w:r>
    </w:p>
    <w:p w:rsidR="00B66D2D" w:rsidRDefault="00C43484">
      <w:pPr>
        <w:spacing w:line="360" w:lineRule="auto"/>
        <w:rPr>
          <w:iCs/>
        </w:rPr>
      </w:pPr>
      <w:r>
        <w:rPr>
          <w:iCs/>
        </w:rPr>
        <w:t>As the size-limitation issue may impacts the RAN3 decisi</w:t>
      </w:r>
      <w:r w:rsidR="004F04F7">
        <w:rPr>
          <w:iCs/>
        </w:rPr>
        <w:t xml:space="preserve">on, so we would like to provide our </w:t>
      </w:r>
      <w:r w:rsidR="00FE6E78">
        <w:rPr>
          <w:iCs/>
        </w:rPr>
        <w:t xml:space="preserve">clarification </w:t>
      </w:r>
      <w:r w:rsidR="004F04F7">
        <w:rPr>
          <w:iCs/>
        </w:rPr>
        <w:t xml:space="preserve">on </w:t>
      </w:r>
      <w:r w:rsidR="00FE6E78">
        <w:rPr>
          <w:iCs/>
        </w:rPr>
        <w:t xml:space="preserve">it </w:t>
      </w:r>
      <w:r>
        <w:rPr>
          <w:iCs/>
        </w:rPr>
        <w:t xml:space="preserve">in this LS reply </w:t>
      </w:r>
      <w:r w:rsidR="00FE6E78">
        <w:rPr>
          <w:iCs/>
        </w:rPr>
        <w:t xml:space="preserve">that </w:t>
      </w:r>
      <w:r>
        <w:rPr>
          <w:iCs/>
        </w:rPr>
        <w:t>from RAN2 point of view</w:t>
      </w:r>
      <w:r w:rsidR="00FE6E78">
        <w:rPr>
          <w:iCs/>
        </w:rPr>
        <w:t xml:space="preserve">, the only size-limitation for </w:t>
      </w:r>
      <w:r w:rsidR="00FE6E78">
        <w:rPr>
          <w:i/>
          <w:iCs/>
        </w:rPr>
        <w:t xml:space="preserve">mbs-NeighbourCellList </w:t>
      </w:r>
      <w:r w:rsidR="00FE6E78">
        <w:rPr>
          <w:iCs/>
        </w:rPr>
        <w:t xml:space="preserve">to include all neighbour cells is the PDCP SDU size which the maximum supported size is </w:t>
      </w:r>
      <w:r w:rsidR="00FE6E78" w:rsidRPr="004F04F7">
        <w:rPr>
          <w:iCs/>
        </w:rPr>
        <w:t>9000 bytes</w:t>
      </w:r>
      <w:r w:rsidR="00FE6E78">
        <w:rPr>
          <w:iCs/>
        </w:rPr>
        <w:t>.</w:t>
      </w:r>
    </w:p>
    <w:p w:rsidR="00B66D2D" w:rsidRDefault="00B66D2D">
      <w:pPr>
        <w:spacing w:line="360" w:lineRule="auto"/>
        <w:rPr>
          <w:rFonts w:eastAsiaTheme="minorEastAsia"/>
        </w:rPr>
      </w:pPr>
    </w:p>
    <w:p w:rsidR="00B66D2D" w:rsidRDefault="00C43484">
      <w:pPr>
        <w:spacing w:line="360" w:lineRule="auto"/>
        <w:rPr>
          <w:rFonts w:eastAsiaTheme="minorEastAsia"/>
          <w:b/>
        </w:rPr>
      </w:pPr>
      <w:r>
        <w:rPr>
          <w:rFonts w:eastAsiaTheme="minorEastAsia"/>
          <w:b/>
        </w:rPr>
        <w:t>For RAN3 Q3:</w:t>
      </w:r>
    </w:p>
    <w:p w:rsidR="00B66D2D" w:rsidRDefault="006F3305">
      <w:pPr>
        <w:spacing w:line="360" w:lineRule="auto"/>
        <w:rPr>
          <w:rFonts w:eastAsiaTheme="minorEastAsia"/>
        </w:rPr>
      </w:pPr>
      <w:r>
        <w:rPr>
          <w:rFonts w:eastAsiaTheme="minorEastAsia"/>
          <w:lang w:val="en-US"/>
        </w:rPr>
        <w:t>A</w:t>
      </w:r>
      <w:r>
        <w:rPr>
          <w:rFonts w:eastAsiaTheme="minorEastAsia"/>
          <w:lang w:val="en-US"/>
        </w:rPr>
        <w:t xml:space="preserve">s the </w:t>
      </w:r>
      <w:r>
        <w:t>relevant ASN.1 signalling shown below</w:t>
      </w:r>
      <w:r w:rsidR="00C43484">
        <w:rPr>
          <w:rFonts w:eastAsiaTheme="minorEastAsia"/>
        </w:rPr>
        <w:t xml:space="preserve">, </w:t>
      </w:r>
      <w:r w:rsidR="00C43484">
        <w:rPr>
          <w:rFonts w:eastAsiaTheme="minorEastAsia"/>
          <w:lang w:val="en-US"/>
        </w:rPr>
        <w:t xml:space="preserve">besides explicitly signaled by referring to the index of the PLMN ID list broadcast in SIB1, </w:t>
      </w:r>
      <w:r w:rsidR="00C43484">
        <w:rPr>
          <w:rFonts w:eastAsiaTheme="minorEastAsia" w:hint="eastAsia"/>
          <w:lang w:val="en-US"/>
        </w:rPr>
        <w:t>R17</w:t>
      </w:r>
      <w:r w:rsidR="00C43484">
        <w:rPr>
          <w:rFonts w:eastAsiaTheme="minorEastAsia"/>
          <w:lang w:val="en-US"/>
        </w:rPr>
        <w:t xml:space="preserve"> </w:t>
      </w:r>
      <w:r w:rsidR="00C43484">
        <w:rPr>
          <w:rFonts w:eastAsiaTheme="minorEastAsia" w:hint="eastAsia"/>
          <w:lang w:val="en-US"/>
        </w:rPr>
        <w:t>also</w:t>
      </w:r>
      <w:r w:rsidR="00C43484">
        <w:rPr>
          <w:rFonts w:eastAsiaTheme="minorEastAsia"/>
          <w:lang w:val="en-US"/>
        </w:rPr>
        <w:t xml:space="preserve"> support explicitly indicate </w:t>
      </w:r>
      <w:r w:rsidR="00C43484">
        <w:rPr>
          <w:rFonts w:eastAsiaTheme="minorEastAsia"/>
        </w:rPr>
        <w:t>the PLMN ID in TMGI. In other words, R17 supports TMGI containing</w:t>
      </w:r>
      <w:r>
        <w:rPr>
          <w:rFonts w:eastAsiaTheme="minorEastAsia"/>
        </w:rPr>
        <w:t xml:space="preserve"> a PLMN ID not broadcast in SIB 1</w:t>
      </w:r>
      <w:r w:rsidR="00C43484">
        <w:rPr>
          <w:rFonts w:eastAsiaTheme="minorEastAsia"/>
        </w:rPr>
        <w:t>.</w:t>
      </w:r>
    </w:p>
    <w:p w:rsidR="00B66D2D" w:rsidRDefault="00C43484">
      <w:pPr>
        <w:pStyle w:val="TH"/>
        <w:rPr>
          <w:bCs/>
          <w:i/>
          <w:iCs/>
        </w:rPr>
      </w:pPr>
      <w:r>
        <w:rPr>
          <w:bCs/>
          <w:i/>
          <w:iCs/>
          <w:lang w:eastAsia="zh-CN"/>
        </w:rPr>
        <w:t>TMGI</w:t>
      </w:r>
      <w:r>
        <w:rPr>
          <w:bCs/>
          <w:i/>
          <w:iCs/>
        </w:rPr>
        <w:t xml:space="preserve"> </w:t>
      </w:r>
      <w:r>
        <w:t>information element</w:t>
      </w:r>
    </w:p>
    <w:p w:rsidR="00B66D2D" w:rsidRDefault="00C43484">
      <w:pPr>
        <w:pStyle w:val="PL"/>
        <w:rPr>
          <w:color w:val="808080"/>
        </w:rPr>
      </w:pPr>
      <w:r>
        <w:rPr>
          <w:color w:val="808080"/>
        </w:rPr>
        <w:t>-- ASN1START</w:t>
      </w:r>
    </w:p>
    <w:p w:rsidR="00B66D2D" w:rsidRDefault="00C43484">
      <w:pPr>
        <w:pStyle w:val="PL"/>
        <w:rPr>
          <w:color w:val="808080"/>
        </w:rPr>
      </w:pPr>
      <w:r>
        <w:rPr>
          <w:color w:val="808080"/>
        </w:rPr>
        <w:t>-- TAG-TMGI-START</w:t>
      </w:r>
    </w:p>
    <w:p w:rsidR="00B66D2D" w:rsidRDefault="00B66D2D">
      <w:pPr>
        <w:pStyle w:val="PL"/>
      </w:pPr>
    </w:p>
    <w:p w:rsidR="00B66D2D" w:rsidRDefault="00C43484">
      <w:pPr>
        <w:pStyle w:val="PL"/>
      </w:pPr>
      <w:r>
        <w:t xml:space="preserve">TMGI-r17 ::=                     </w:t>
      </w:r>
      <w:r>
        <w:rPr>
          <w:color w:val="993366"/>
        </w:rPr>
        <w:t>SEQUENCE</w:t>
      </w:r>
      <w:r>
        <w:t xml:space="preserve"> {</w:t>
      </w:r>
    </w:p>
    <w:p w:rsidR="00B66D2D" w:rsidRDefault="00C43484">
      <w:pPr>
        <w:pStyle w:val="PL"/>
      </w:pPr>
      <w:r>
        <w:t xml:space="preserve">    plmn-Id-r17                      </w:t>
      </w:r>
      <w:r>
        <w:rPr>
          <w:color w:val="993366"/>
        </w:rPr>
        <w:t>CHOICE</w:t>
      </w:r>
      <w:r>
        <w:t xml:space="preserve"> {</w:t>
      </w:r>
    </w:p>
    <w:p w:rsidR="00B66D2D" w:rsidRDefault="00C43484">
      <w:pPr>
        <w:pStyle w:val="PL"/>
      </w:pPr>
      <w:r>
        <w:t xml:space="preserve">        plmn-Index                       </w:t>
      </w:r>
      <w:r>
        <w:rPr>
          <w:color w:val="993366"/>
        </w:rPr>
        <w:t>INTEGER</w:t>
      </w:r>
      <w:r>
        <w:t xml:space="preserve"> (1..maxPLMN),</w:t>
      </w:r>
    </w:p>
    <w:p w:rsidR="00B66D2D" w:rsidRDefault="00C43484">
      <w:pPr>
        <w:pStyle w:val="PL"/>
      </w:pPr>
      <w:r>
        <w:t xml:space="preserve">        explicitValue                    PLMN-Identity</w:t>
      </w:r>
    </w:p>
    <w:p w:rsidR="00B66D2D" w:rsidRDefault="00C43484">
      <w:pPr>
        <w:pStyle w:val="PL"/>
      </w:pPr>
      <w:r>
        <w:t xml:space="preserve">    }, mbs-NeighbourCellList</w:t>
      </w:r>
    </w:p>
    <w:p w:rsidR="00B66D2D" w:rsidRDefault="00C43484">
      <w:pPr>
        <w:pStyle w:val="PL"/>
      </w:pPr>
      <w:r>
        <w:t xml:space="preserve">    serviceId-r17                    </w:t>
      </w:r>
      <w:r>
        <w:rPr>
          <w:color w:val="993366"/>
        </w:rPr>
        <w:t>OCTET</w:t>
      </w:r>
      <w:r>
        <w:t xml:space="preserve"> </w:t>
      </w:r>
      <w:r>
        <w:rPr>
          <w:color w:val="993366"/>
        </w:rPr>
        <w:t>STRING</w:t>
      </w:r>
      <w:r>
        <w:t xml:space="preserve"> (</w:t>
      </w:r>
      <w:r>
        <w:rPr>
          <w:color w:val="993366"/>
        </w:rPr>
        <w:t>SIZE</w:t>
      </w:r>
      <w:r>
        <w:t xml:space="preserve"> (3))</w:t>
      </w:r>
    </w:p>
    <w:p w:rsidR="00B66D2D" w:rsidRDefault="00C43484">
      <w:pPr>
        <w:pStyle w:val="PL"/>
      </w:pPr>
      <w:r>
        <w:t>}</w:t>
      </w:r>
    </w:p>
    <w:p w:rsidR="00B66D2D" w:rsidRDefault="00B66D2D">
      <w:pPr>
        <w:pStyle w:val="PL"/>
      </w:pPr>
    </w:p>
    <w:p w:rsidR="00B66D2D" w:rsidRDefault="00C43484">
      <w:pPr>
        <w:pStyle w:val="PL"/>
        <w:rPr>
          <w:color w:val="808080"/>
        </w:rPr>
      </w:pPr>
      <w:r>
        <w:rPr>
          <w:color w:val="808080"/>
        </w:rPr>
        <w:t>-- TAG-TMGI-STOP</w:t>
      </w:r>
    </w:p>
    <w:p w:rsidR="00B66D2D" w:rsidRDefault="00C43484">
      <w:pPr>
        <w:pStyle w:val="PL"/>
        <w:rPr>
          <w:color w:val="808080"/>
        </w:rPr>
      </w:pPr>
      <w:r>
        <w:rPr>
          <w:color w:val="808080"/>
        </w:rPr>
        <w:t>-- ASN1STOP</w:t>
      </w:r>
    </w:p>
    <w:p w:rsidR="006F3305" w:rsidRDefault="006F3305" w:rsidP="006F3305">
      <w:pPr>
        <w:spacing w:line="360" w:lineRule="auto"/>
        <w:rPr>
          <w:rFonts w:eastAsiaTheme="minorEastAsia"/>
        </w:rPr>
      </w:pPr>
      <w:r>
        <w:rPr>
          <w:rFonts w:eastAsiaTheme="minorEastAsia"/>
        </w:rPr>
        <w:t>As for TMGI containing a SNPN ID, even though it is not supported in Rel-17, there is also no significant limitation from RRC point of view to introduce a new type of TMGI in Rel-18.</w:t>
      </w:r>
    </w:p>
    <w:p w:rsidR="00B66D2D" w:rsidRPr="00D31030" w:rsidRDefault="006F3305">
      <w:pPr>
        <w:spacing w:line="360" w:lineRule="auto"/>
        <w:rPr>
          <w:rFonts w:eastAsiaTheme="minorEastAsia" w:hint="eastAsia"/>
          <w:lang w:val="en-US"/>
        </w:rPr>
      </w:pPr>
      <w:r>
        <w:rPr>
          <w:rFonts w:eastAsiaTheme="minorEastAsia"/>
        </w:rPr>
        <w:t>Therefore, the answer to this question is No.</w:t>
      </w:r>
      <w:bookmarkStart w:id="6" w:name="_GoBack"/>
      <w:bookmarkEnd w:id="6"/>
    </w:p>
    <w:bookmarkEnd w:id="2"/>
    <w:bookmarkEnd w:id="3"/>
    <w:bookmarkEnd w:id="4"/>
    <w:bookmarkEnd w:id="5"/>
    <w:p w:rsidR="00B66D2D" w:rsidRDefault="00C43484">
      <w:pPr>
        <w:pStyle w:val="1"/>
      </w:pPr>
      <w:r>
        <w:rPr>
          <w:rFonts w:hint="eastAsia"/>
        </w:rPr>
        <w:lastRenderedPageBreak/>
        <w:t>Con</w:t>
      </w:r>
      <w:r>
        <w:t>clusion</w:t>
      </w:r>
    </w:p>
    <w:bookmarkEnd w:id="0"/>
    <w:p w:rsidR="00B66D2D" w:rsidRDefault="00C43484">
      <w:pPr>
        <w:spacing w:line="360" w:lineRule="auto"/>
        <w:rPr>
          <w:rFonts w:eastAsiaTheme="minorEastAsia"/>
        </w:rPr>
      </w:pPr>
      <w:r>
        <w:rPr>
          <w:rFonts w:eastAsiaTheme="minorEastAsia" w:hint="eastAsia"/>
        </w:rPr>
        <w:t>I</w:t>
      </w:r>
      <w:r>
        <w:rPr>
          <w:rFonts w:eastAsiaTheme="minorEastAsia"/>
        </w:rPr>
        <w:t>n this contribution, we provide our analyses on questions in RAN3 LS on the resource efficiency for MBS reception in RAN sharing scenario, and would like to provide RAN2 feedback to RAN3 as follows:</w:t>
      </w:r>
    </w:p>
    <w:p w:rsidR="00B66D2D" w:rsidRDefault="00C43484">
      <w:pPr>
        <w:spacing w:line="360" w:lineRule="auto"/>
        <w:rPr>
          <w:rFonts w:eastAsiaTheme="minorEastAsia"/>
          <w:b/>
        </w:rPr>
      </w:pPr>
      <w:r>
        <w:rPr>
          <w:rFonts w:eastAsiaTheme="minorEastAsia" w:hint="eastAsia"/>
          <w:b/>
        </w:rPr>
        <w:t>R</w:t>
      </w:r>
      <w:r>
        <w:rPr>
          <w:rFonts w:eastAsiaTheme="minorEastAsia"/>
          <w:b/>
        </w:rPr>
        <w:t xml:space="preserve">AN2 Answer to Q1: Does RRC support in Rel-17 configuration of an MBS broadcast session, which is associated with multiple TMGIs? </w:t>
      </w:r>
    </w:p>
    <w:p w:rsidR="00B66D2D" w:rsidRDefault="00C43484">
      <w:pPr>
        <w:pStyle w:val="aa"/>
        <w:numPr>
          <w:ilvl w:val="0"/>
          <w:numId w:val="4"/>
        </w:numPr>
        <w:overflowPunct/>
        <w:autoSpaceDE/>
        <w:autoSpaceDN/>
        <w:adjustRightInd/>
        <w:spacing w:after="180" w:line="360" w:lineRule="auto"/>
        <w:jc w:val="left"/>
        <w:textAlignment w:val="auto"/>
        <w:rPr>
          <w:rFonts w:eastAsiaTheme="minorEastAsia"/>
        </w:rPr>
      </w:pPr>
      <w:r>
        <w:rPr>
          <w:rFonts w:eastAsiaTheme="minorEastAsia"/>
        </w:rPr>
        <w:t>No. In R</w:t>
      </w:r>
      <w:r w:rsidR="006D54C2">
        <w:rPr>
          <w:rFonts w:eastAsiaTheme="minorEastAsia"/>
        </w:rPr>
        <w:t>el-</w:t>
      </w:r>
      <w:r>
        <w:rPr>
          <w:rFonts w:eastAsiaTheme="minorEastAsia"/>
        </w:rPr>
        <w:t>17, an MBS broadcast session is only associated with one TMGI.</w:t>
      </w:r>
    </w:p>
    <w:p w:rsidR="00B66D2D" w:rsidRDefault="00C43484">
      <w:pPr>
        <w:spacing w:line="360" w:lineRule="auto"/>
        <w:rPr>
          <w:rFonts w:eastAsiaTheme="minorEastAsia"/>
          <w:b/>
        </w:rPr>
      </w:pPr>
      <w:r>
        <w:rPr>
          <w:rFonts w:eastAsiaTheme="minorEastAsia" w:hint="eastAsia"/>
          <w:b/>
        </w:rPr>
        <w:t>R</w:t>
      </w:r>
      <w:r>
        <w:rPr>
          <w:rFonts w:eastAsiaTheme="minorEastAsia"/>
          <w:b/>
        </w:rPr>
        <w:t xml:space="preserve">AN2 Answer to Q2: </w:t>
      </w:r>
      <w:r>
        <w:rPr>
          <w:b/>
        </w:rPr>
        <w:t>RRC supports the indication whether a neighbour cell provides the broadcast service on MTCH</w:t>
      </w:r>
      <w:r>
        <w:rPr>
          <w:rFonts w:hint="eastAsia"/>
          <w:b/>
        </w:rPr>
        <w:t xml:space="preserve">. </w:t>
      </w:r>
      <w:r>
        <w:rPr>
          <w:b/>
        </w:rPr>
        <w:t xml:space="preserve">Given the size of the </w:t>
      </w:r>
      <w:r>
        <w:rPr>
          <w:b/>
          <w:i/>
          <w:iCs/>
        </w:rPr>
        <w:t>mbs-NeighbourCellList</w:t>
      </w:r>
      <w:r>
        <w:rPr>
          <w:b/>
        </w:rPr>
        <w:t xml:space="preserve"> </w:t>
      </w:r>
      <w:r>
        <w:rPr>
          <w:rFonts w:hint="eastAsia"/>
          <w:b/>
        </w:rPr>
        <w:t>to</w:t>
      </w:r>
      <w:r>
        <w:rPr>
          <w:b/>
        </w:rPr>
        <w:t xml:space="preserve"> which the </w:t>
      </w:r>
      <w:r>
        <w:rPr>
          <w:b/>
          <w:i/>
          <w:iCs/>
        </w:rPr>
        <w:t>mtch-NeighbourCell</w:t>
      </w:r>
      <w:r>
        <w:rPr>
          <w:b/>
          <w:color w:val="002060"/>
        </w:rPr>
        <w:t xml:space="preserve"> </w:t>
      </w:r>
      <w:r>
        <w:rPr>
          <w:b/>
        </w:rPr>
        <w:t xml:space="preserve">in each </w:t>
      </w:r>
      <w:r>
        <w:rPr>
          <w:b/>
          <w:i/>
          <w:iCs/>
        </w:rPr>
        <w:t>MBS-SessionInfo</w:t>
      </w:r>
      <w:r>
        <w:rPr>
          <w:b/>
          <w:color w:val="002060"/>
        </w:rPr>
        <w:t xml:space="preserve"> </w:t>
      </w:r>
      <w:r>
        <w:rPr>
          <w:b/>
        </w:rPr>
        <w:t>item refers to, it is possible that not all neighbour cells can be indicat</w:t>
      </w:r>
      <w:r>
        <w:rPr>
          <w:rFonts w:hint="eastAsia"/>
          <w:b/>
        </w:rPr>
        <w:t xml:space="preserve">ed. </w:t>
      </w:r>
      <w:r>
        <w:rPr>
          <w:b/>
        </w:rPr>
        <w:t>This</w:t>
      </w:r>
      <w:r>
        <w:rPr>
          <w:rFonts w:hint="eastAsia"/>
          <w:b/>
        </w:rPr>
        <w:t xml:space="preserve"> size-limitation would</w:t>
      </w:r>
      <w:r>
        <w:rPr>
          <w:b/>
        </w:rPr>
        <w:t xml:space="preserve"> </w:t>
      </w:r>
      <w:r>
        <w:rPr>
          <w:rFonts w:hint="eastAsia"/>
          <w:b/>
        </w:rPr>
        <w:t>presumably</w:t>
      </w:r>
      <w:r>
        <w:rPr>
          <w:b/>
        </w:rPr>
        <w:t xml:space="preserve"> be more acute in RAN sharing scenarios, at the border between a shared area and a non-shared area or similar. Can it be assumed that service continuity is also supported towards a neighbour cell not indicated in th</w:t>
      </w:r>
      <w:r>
        <w:rPr>
          <w:b/>
          <w:color w:val="002060"/>
        </w:rPr>
        <w:t xml:space="preserve">e </w:t>
      </w:r>
      <w:r>
        <w:rPr>
          <w:b/>
          <w:i/>
          <w:iCs/>
        </w:rPr>
        <w:t>mbs-NeighbourCellList</w:t>
      </w:r>
      <w:r>
        <w:rPr>
          <w:rFonts w:hint="eastAsia"/>
          <w:b/>
          <w:color w:val="002060"/>
        </w:rPr>
        <w:t>?</w:t>
      </w:r>
    </w:p>
    <w:p w:rsidR="00B66D2D" w:rsidRDefault="00C43484">
      <w:pPr>
        <w:pStyle w:val="aa"/>
        <w:numPr>
          <w:ilvl w:val="0"/>
          <w:numId w:val="4"/>
        </w:numPr>
        <w:spacing w:line="360" w:lineRule="auto"/>
        <w:rPr>
          <w:rFonts w:eastAsiaTheme="minorEastAsia"/>
        </w:rPr>
      </w:pPr>
      <w:r>
        <w:rPr>
          <w:rFonts w:eastAsiaTheme="minorEastAsia"/>
        </w:rPr>
        <w:t xml:space="preserve">No, </w:t>
      </w:r>
      <w:r>
        <w:t>service continuity is not supported towards a neighbour cell not indicated in th</w:t>
      </w:r>
      <w:r>
        <w:rPr>
          <w:color w:val="002060"/>
        </w:rPr>
        <w:t xml:space="preserve">e </w:t>
      </w:r>
      <w:r>
        <w:rPr>
          <w:i/>
          <w:iCs/>
        </w:rPr>
        <w:t>mbs-NeighbourCellList</w:t>
      </w:r>
      <w:r>
        <w:rPr>
          <w:iCs/>
        </w:rPr>
        <w:t xml:space="preserve">. </w:t>
      </w:r>
    </w:p>
    <w:p w:rsidR="00B66D2D" w:rsidRDefault="00C43484">
      <w:pPr>
        <w:pStyle w:val="aa"/>
        <w:numPr>
          <w:ilvl w:val="0"/>
          <w:numId w:val="4"/>
        </w:numPr>
        <w:spacing w:line="360" w:lineRule="auto"/>
        <w:rPr>
          <w:rFonts w:eastAsiaTheme="minorEastAsia"/>
        </w:rPr>
      </w:pPr>
      <w:r>
        <w:rPr>
          <w:iCs/>
        </w:rPr>
        <w:t xml:space="preserve">Besides, </w:t>
      </w:r>
      <w:r w:rsidR="00FE6E78">
        <w:rPr>
          <w:iCs/>
        </w:rPr>
        <w:t xml:space="preserve">from RAN2 point of view, the only size-limitation for </w:t>
      </w:r>
      <w:r w:rsidR="00FE6E78">
        <w:rPr>
          <w:i/>
          <w:iCs/>
        </w:rPr>
        <w:t xml:space="preserve">mbs-NeighbourCellList </w:t>
      </w:r>
      <w:r w:rsidR="00FE6E78">
        <w:rPr>
          <w:iCs/>
        </w:rPr>
        <w:t xml:space="preserve">to include all neighbour cells is the PDCP SDU size which the maximum supported size is </w:t>
      </w:r>
      <w:r w:rsidR="00FE6E78" w:rsidRPr="004F04F7">
        <w:rPr>
          <w:iCs/>
        </w:rPr>
        <w:t>9000 bytes</w:t>
      </w:r>
      <w:r>
        <w:rPr>
          <w:i/>
          <w:iCs/>
        </w:rPr>
        <w:t>.</w:t>
      </w:r>
    </w:p>
    <w:p w:rsidR="00B66D2D" w:rsidRDefault="00C43484">
      <w:pPr>
        <w:spacing w:line="360" w:lineRule="auto"/>
        <w:rPr>
          <w:b/>
          <w:lang w:val="en-US"/>
        </w:rPr>
      </w:pPr>
      <w:r>
        <w:rPr>
          <w:rFonts w:eastAsiaTheme="minorEastAsia" w:hint="eastAsia"/>
          <w:b/>
        </w:rPr>
        <w:t>R</w:t>
      </w:r>
      <w:r>
        <w:rPr>
          <w:rFonts w:eastAsiaTheme="minorEastAsia"/>
          <w:b/>
        </w:rPr>
        <w:t xml:space="preserve">AN2 Answer to Q3: </w:t>
      </w:r>
      <w:r>
        <w:rPr>
          <w:b/>
          <w:lang w:val="en-US"/>
        </w:rPr>
        <w:t>Is there any significant limitation from RRC point of view if the TMGI as received by the 5GC contains a PLMN/SNPN ID not broadcast in SIB1?</w:t>
      </w:r>
    </w:p>
    <w:p w:rsidR="00B66D2D" w:rsidRDefault="00C43484">
      <w:pPr>
        <w:pStyle w:val="aa"/>
        <w:numPr>
          <w:ilvl w:val="0"/>
          <w:numId w:val="4"/>
        </w:numPr>
        <w:spacing w:line="360" w:lineRule="auto"/>
        <w:rPr>
          <w:rFonts w:eastAsiaTheme="minorEastAsia"/>
        </w:rPr>
      </w:pPr>
      <w:r>
        <w:rPr>
          <w:rFonts w:eastAsiaTheme="minorEastAsia"/>
        </w:rPr>
        <w:t xml:space="preserve">No, there is no significant limitation from RRC point of view. </w:t>
      </w:r>
    </w:p>
    <w:p w:rsidR="00B66D2D" w:rsidRDefault="00C43484">
      <w:pPr>
        <w:pStyle w:val="aa"/>
        <w:numPr>
          <w:ilvl w:val="0"/>
          <w:numId w:val="4"/>
        </w:numPr>
        <w:spacing w:line="360" w:lineRule="auto"/>
        <w:rPr>
          <w:rFonts w:eastAsiaTheme="minorEastAsia"/>
        </w:rPr>
      </w:pPr>
      <w:r>
        <w:rPr>
          <w:rFonts w:eastAsiaTheme="minorEastAsia"/>
        </w:rPr>
        <w:t>R</w:t>
      </w:r>
      <w:r w:rsidR="006D54C2">
        <w:rPr>
          <w:rFonts w:eastAsiaTheme="minorEastAsia"/>
        </w:rPr>
        <w:t>el-</w:t>
      </w:r>
      <w:r>
        <w:rPr>
          <w:rFonts w:eastAsiaTheme="minorEastAsia"/>
        </w:rPr>
        <w:t xml:space="preserve">17 supports TMGI containing a PLMN not broadcast in SIB1. As for the TMGI containing a SNPN not broadcast in SIB1, it can be supported </w:t>
      </w:r>
      <w:r w:rsidR="00C00320">
        <w:rPr>
          <w:rFonts w:eastAsiaTheme="minorEastAsia"/>
        </w:rPr>
        <w:t>via</w:t>
      </w:r>
      <w:r>
        <w:rPr>
          <w:rFonts w:eastAsiaTheme="minorEastAsia"/>
        </w:rPr>
        <w:t xml:space="preserve"> introducing a new type of TMGI in R</w:t>
      </w:r>
      <w:r w:rsidR="006D54C2">
        <w:rPr>
          <w:rFonts w:eastAsiaTheme="minorEastAsia"/>
        </w:rPr>
        <w:t>el-</w:t>
      </w:r>
      <w:r>
        <w:rPr>
          <w:rFonts w:eastAsiaTheme="minorEastAsia"/>
        </w:rPr>
        <w:t>18.</w:t>
      </w:r>
    </w:p>
    <w:sectPr w:rsidR="00B66D2D">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98D" w:rsidRDefault="0000398D">
      <w:pPr>
        <w:spacing w:line="240" w:lineRule="auto"/>
      </w:pPr>
      <w:r>
        <w:separator/>
      </w:r>
    </w:p>
  </w:endnote>
  <w:endnote w:type="continuationSeparator" w:id="0">
    <w:p w:rsidR="0000398D" w:rsidRDefault="000039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D2D" w:rsidRDefault="00C43484">
    <w:pPr>
      <w:pStyle w:val="a4"/>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D31030">
      <w:rPr>
        <w:noProof/>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D31030">
      <w:rPr>
        <w:noProof/>
        <w:sz w:val="20"/>
        <w:szCs w:val="20"/>
      </w:rPr>
      <w:t>3</w:t>
    </w:r>
    <w:r>
      <w:rPr>
        <w:sz w:val="20"/>
        <w:szCs w:val="20"/>
      </w:rP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98D" w:rsidRDefault="0000398D">
      <w:pPr>
        <w:spacing w:after="0"/>
      </w:pPr>
      <w:r>
        <w:separator/>
      </w:r>
    </w:p>
  </w:footnote>
  <w:footnote w:type="continuationSeparator" w:id="0">
    <w:p w:rsidR="0000398D" w:rsidRDefault="000039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NjRhMmFhMzdmODVkMGUyMDA3YmEwYWU0Yzg3MTgifQ=="/>
  </w:docVars>
  <w:rsids>
    <w:rsidRoot w:val="7D543254"/>
    <w:rsid w:val="00001872"/>
    <w:rsid w:val="0000208D"/>
    <w:rsid w:val="00002861"/>
    <w:rsid w:val="00002A95"/>
    <w:rsid w:val="00002C98"/>
    <w:rsid w:val="0000398D"/>
    <w:rsid w:val="00005C9C"/>
    <w:rsid w:val="00012DD8"/>
    <w:rsid w:val="0001528D"/>
    <w:rsid w:val="00017126"/>
    <w:rsid w:val="00021977"/>
    <w:rsid w:val="00025524"/>
    <w:rsid w:val="00025EA5"/>
    <w:rsid w:val="00026FEF"/>
    <w:rsid w:val="00027BA5"/>
    <w:rsid w:val="00036D56"/>
    <w:rsid w:val="000415CD"/>
    <w:rsid w:val="000426C2"/>
    <w:rsid w:val="00046A50"/>
    <w:rsid w:val="00047C7C"/>
    <w:rsid w:val="0005465B"/>
    <w:rsid w:val="00055BEA"/>
    <w:rsid w:val="000568AE"/>
    <w:rsid w:val="00061371"/>
    <w:rsid w:val="00061A6A"/>
    <w:rsid w:val="000621E7"/>
    <w:rsid w:val="000640D5"/>
    <w:rsid w:val="000715ED"/>
    <w:rsid w:val="000730E0"/>
    <w:rsid w:val="00081623"/>
    <w:rsid w:val="0008220C"/>
    <w:rsid w:val="00082FC3"/>
    <w:rsid w:val="0008330E"/>
    <w:rsid w:val="00084D55"/>
    <w:rsid w:val="00085C3D"/>
    <w:rsid w:val="0009308C"/>
    <w:rsid w:val="000946A7"/>
    <w:rsid w:val="000A3233"/>
    <w:rsid w:val="000A4D17"/>
    <w:rsid w:val="000A4DE8"/>
    <w:rsid w:val="000A713C"/>
    <w:rsid w:val="000C36D9"/>
    <w:rsid w:val="000C66AA"/>
    <w:rsid w:val="000C7D11"/>
    <w:rsid w:val="000D1E0A"/>
    <w:rsid w:val="000D2B9C"/>
    <w:rsid w:val="000D4DC6"/>
    <w:rsid w:val="000D55F4"/>
    <w:rsid w:val="000D6F15"/>
    <w:rsid w:val="000E02B3"/>
    <w:rsid w:val="000E5321"/>
    <w:rsid w:val="000E5B34"/>
    <w:rsid w:val="000E71DB"/>
    <w:rsid w:val="000F418E"/>
    <w:rsid w:val="000F626A"/>
    <w:rsid w:val="000F65BF"/>
    <w:rsid w:val="0010154A"/>
    <w:rsid w:val="0010400B"/>
    <w:rsid w:val="0010515F"/>
    <w:rsid w:val="0011141B"/>
    <w:rsid w:val="00112328"/>
    <w:rsid w:val="00112931"/>
    <w:rsid w:val="00115774"/>
    <w:rsid w:val="00122B06"/>
    <w:rsid w:val="00122F0F"/>
    <w:rsid w:val="00137119"/>
    <w:rsid w:val="00144C9A"/>
    <w:rsid w:val="001502DD"/>
    <w:rsid w:val="00153BF9"/>
    <w:rsid w:val="001576D0"/>
    <w:rsid w:val="001620A1"/>
    <w:rsid w:val="00171108"/>
    <w:rsid w:val="00171529"/>
    <w:rsid w:val="001730D9"/>
    <w:rsid w:val="00174FF0"/>
    <w:rsid w:val="00185532"/>
    <w:rsid w:val="001860AC"/>
    <w:rsid w:val="001869B1"/>
    <w:rsid w:val="001913B0"/>
    <w:rsid w:val="001932AF"/>
    <w:rsid w:val="0019591B"/>
    <w:rsid w:val="00196B67"/>
    <w:rsid w:val="001A0970"/>
    <w:rsid w:val="001A7682"/>
    <w:rsid w:val="001B00FE"/>
    <w:rsid w:val="001B2A60"/>
    <w:rsid w:val="001C22E4"/>
    <w:rsid w:val="001C5F0B"/>
    <w:rsid w:val="001D0BA1"/>
    <w:rsid w:val="001D1B53"/>
    <w:rsid w:val="001D418E"/>
    <w:rsid w:val="001E2FC6"/>
    <w:rsid w:val="001E78C7"/>
    <w:rsid w:val="00200702"/>
    <w:rsid w:val="002018C8"/>
    <w:rsid w:val="00202A60"/>
    <w:rsid w:val="00204A6E"/>
    <w:rsid w:val="002057F6"/>
    <w:rsid w:val="00205823"/>
    <w:rsid w:val="00206F4E"/>
    <w:rsid w:val="00211E0D"/>
    <w:rsid w:val="0021241A"/>
    <w:rsid w:val="00212757"/>
    <w:rsid w:val="00212A4D"/>
    <w:rsid w:val="00212B2B"/>
    <w:rsid w:val="00215C4C"/>
    <w:rsid w:val="00217C6B"/>
    <w:rsid w:val="00224597"/>
    <w:rsid w:val="00226CA8"/>
    <w:rsid w:val="00230393"/>
    <w:rsid w:val="002327AF"/>
    <w:rsid w:val="00234A55"/>
    <w:rsid w:val="00234CE3"/>
    <w:rsid w:val="00235815"/>
    <w:rsid w:val="002368B2"/>
    <w:rsid w:val="002403EF"/>
    <w:rsid w:val="00243520"/>
    <w:rsid w:val="00247304"/>
    <w:rsid w:val="002511CF"/>
    <w:rsid w:val="00261581"/>
    <w:rsid w:val="00264E83"/>
    <w:rsid w:val="002702CA"/>
    <w:rsid w:val="00270A42"/>
    <w:rsid w:val="00282E80"/>
    <w:rsid w:val="00285370"/>
    <w:rsid w:val="002930A5"/>
    <w:rsid w:val="00293F6D"/>
    <w:rsid w:val="002A0260"/>
    <w:rsid w:val="002A1810"/>
    <w:rsid w:val="002B3BE7"/>
    <w:rsid w:val="002B4A2E"/>
    <w:rsid w:val="002B6F82"/>
    <w:rsid w:val="002C42E0"/>
    <w:rsid w:val="002C433B"/>
    <w:rsid w:val="002C68CF"/>
    <w:rsid w:val="002D09BE"/>
    <w:rsid w:val="002D437E"/>
    <w:rsid w:val="002D43A4"/>
    <w:rsid w:val="002E062A"/>
    <w:rsid w:val="002E701E"/>
    <w:rsid w:val="002F0362"/>
    <w:rsid w:val="002F1928"/>
    <w:rsid w:val="0030429D"/>
    <w:rsid w:val="00305326"/>
    <w:rsid w:val="00315486"/>
    <w:rsid w:val="003175CD"/>
    <w:rsid w:val="003217B8"/>
    <w:rsid w:val="00324AEB"/>
    <w:rsid w:val="00327299"/>
    <w:rsid w:val="00331AAA"/>
    <w:rsid w:val="0033724F"/>
    <w:rsid w:val="00346C7A"/>
    <w:rsid w:val="003476B8"/>
    <w:rsid w:val="00347D05"/>
    <w:rsid w:val="00350E62"/>
    <w:rsid w:val="003512F6"/>
    <w:rsid w:val="00352455"/>
    <w:rsid w:val="00353584"/>
    <w:rsid w:val="00354486"/>
    <w:rsid w:val="00356594"/>
    <w:rsid w:val="00362367"/>
    <w:rsid w:val="00365E0D"/>
    <w:rsid w:val="00367B74"/>
    <w:rsid w:val="003720F3"/>
    <w:rsid w:val="00372BE7"/>
    <w:rsid w:val="003774E7"/>
    <w:rsid w:val="00383D6A"/>
    <w:rsid w:val="003867E3"/>
    <w:rsid w:val="00387321"/>
    <w:rsid w:val="003A05E7"/>
    <w:rsid w:val="003A1DF0"/>
    <w:rsid w:val="003A5FAC"/>
    <w:rsid w:val="003A62AB"/>
    <w:rsid w:val="003B211A"/>
    <w:rsid w:val="003B4B05"/>
    <w:rsid w:val="003B534B"/>
    <w:rsid w:val="003B769C"/>
    <w:rsid w:val="003C1999"/>
    <w:rsid w:val="003C2268"/>
    <w:rsid w:val="003C62E9"/>
    <w:rsid w:val="003D0EAC"/>
    <w:rsid w:val="003D36A2"/>
    <w:rsid w:val="003D4993"/>
    <w:rsid w:val="003D6D00"/>
    <w:rsid w:val="003E1D7F"/>
    <w:rsid w:val="003E29C0"/>
    <w:rsid w:val="003E30AB"/>
    <w:rsid w:val="003E35F7"/>
    <w:rsid w:val="003E4E5F"/>
    <w:rsid w:val="003F0925"/>
    <w:rsid w:val="003F7C68"/>
    <w:rsid w:val="00407084"/>
    <w:rsid w:val="00407395"/>
    <w:rsid w:val="004073F1"/>
    <w:rsid w:val="004120E5"/>
    <w:rsid w:val="00416A74"/>
    <w:rsid w:val="00417567"/>
    <w:rsid w:val="00420EAF"/>
    <w:rsid w:val="00424ECC"/>
    <w:rsid w:val="004308C9"/>
    <w:rsid w:val="0043173D"/>
    <w:rsid w:val="00431880"/>
    <w:rsid w:val="00434FAC"/>
    <w:rsid w:val="0044430E"/>
    <w:rsid w:val="00444D49"/>
    <w:rsid w:val="00452607"/>
    <w:rsid w:val="00453FE0"/>
    <w:rsid w:val="0045752C"/>
    <w:rsid w:val="00465C7E"/>
    <w:rsid w:val="004710D6"/>
    <w:rsid w:val="00476FB0"/>
    <w:rsid w:val="00484255"/>
    <w:rsid w:val="004864AF"/>
    <w:rsid w:val="00490A2F"/>
    <w:rsid w:val="00491016"/>
    <w:rsid w:val="0049457A"/>
    <w:rsid w:val="0049693C"/>
    <w:rsid w:val="004A0910"/>
    <w:rsid w:val="004A3C9D"/>
    <w:rsid w:val="004A4797"/>
    <w:rsid w:val="004B032B"/>
    <w:rsid w:val="004B41DA"/>
    <w:rsid w:val="004C140E"/>
    <w:rsid w:val="004C40AE"/>
    <w:rsid w:val="004C4A16"/>
    <w:rsid w:val="004C4CA6"/>
    <w:rsid w:val="004C4D83"/>
    <w:rsid w:val="004C4D91"/>
    <w:rsid w:val="004C7BF4"/>
    <w:rsid w:val="004D1612"/>
    <w:rsid w:val="004D3FA5"/>
    <w:rsid w:val="004D7DAD"/>
    <w:rsid w:val="004E2135"/>
    <w:rsid w:val="004E2D13"/>
    <w:rsid w:val="004E6928"/>
    <w:rsid w:val="004F04F7"/>
    <w:rsid w:val="004F10D9"/>
    <w:rsid w:val="004F209F"/>
    <w:rsid w:val="004F2815"/>
    <w:rsid w:val="004F3028"/>
    <w:rsid w:val="004F4A23"/>
    <w:rsid w:val="004F60AE"/>
    <w:rsid w:val="004F6278"/>
    <w:rsid w:val="00502295"/>
    <w:rsid w:val="0050305D"/>
    <w:rsid w:val="005053E6"/>
    <w:rsid w:val="00510BD5"/>
    <w:rsid w:val="005119A5"/>
    <w:rsid w:val="00512A04"/>
    <w:rsid w:val="00513FAC"/>
    <w:rsid w:val="00524CF4"/>
    <w:rsid w:val="00525CCA"/>
    <w:rsid w:val="00526C50"/>
    <w:rsid w:val="005328F9"/>
    <w:rsid w:val="005362D7"/>
    <w:rsid w:val="005406FD"/>
    <w:rsid w:val="0054166A"/>
    <w:rsid w:val="00541EC3"/>
    <w:rsid w:val="005429AE"/>
    <w:rsid w:val="00543F59"/>
    <w:rsid w:val="00547932"/>
    <w:rsid w:val="00554D7B"/>
    <w:rsid w:val="00554E29"/>
    <w:rsid w:val="00556150"/>
    <w:rsid w:val="005572CF"/>
    <w:rsid w:val="00562EFC"/>
    <w:rsid w:val="00573D77"/>
    <w:rsid w:val="0057796B"/>
    <w:rsid w:val="005826F0"/>
    <w:rsid w:val="00582A34"/>
    <w:rsid w:val="00585560"/>
    <w:rsid w:val="0058724D"/>
    <w:rsid w:val="00590417"/>
    <w:rsid w:val="0059207F"/>
    <w:rsid w:val="00596768"/>
    <w:rsid w:val="005A1207"/>
    <w:rsid w:val="005A5E6F"/>
    <w:rsid w:val="005B27C6"/>
    <w:rsid w:val="005B75A9"/>
    <w:rsid w:val="005C4448"/>
    <w:rsid w:val="005C73FD"/>
    <w:rsid w:val="005D4E28"/>
    <w:rsid w:val="005E68D2"/>
    <w:rsid w:val="005F3413"/>
    <w:rsid w:val="006037B0"/>
    <w:rsid w:val="00606E2C"/>
    <w:rsid w:val="00607263"/>
    <w:rsid w:val="00607B2F"/>
    <w:rsid w:val="00611DA7"/>
    <w:rsid w:val="006121C8"/>
    <w:rsid w:val="00612A7A"/>
    <w:rsid w:val="00614F39"/>
    <w:rsid w:val="006163E1"/>
    <w:rsid w:val="00617C65"/>
    <w:rsid w:val="00625294"/>
    <w:rsid w:val="00625310"/>
    <w:rsid w:val="00627595"/>
    <w:rsid w:val="00631E4D"/>
    <w:rsid w:val="006331BB"/>
    <w:rsid w:val="0063489A"/>
    <w:rsid w:val="0063540C"/>
    <w:rsid w:val="006413BF"/>
    <w:rsid w:val="00642736"/>
    <w:rsid w:val="00645779"/>
    <w:rsid w:val="00646C28"/>
    <w:rsid w:val="006505AF"/>
    <w:rsid w:val="006509B1"/>
    <w:rsid w:val="00651582"/>
    <w:rsid w:val="00656397"/>
    <w:rsid w:val="0065643D"/>
    <w:rsid w:val="00660A1B"/>
    <w:rsid w:val="00660D22"/>
    <w:rsid w:val="006610C3"/>
    <w:rsid w:val="00672DE0"/>
    <w:rsid w:val="00673FF5"/>
    <w:rsid w:val="00675D89"/>
    <w:rsid w:val="00677648"/>
    <w:rsid w:val="00681C72"/>
    <w:rsid w:val="006843D7"/>
    <w:rsid w:val="0068450E"/>
    <w:rsid w:val="00684EC9"/>
    <w:rsid w:val="00685596"/>
    <w:rsid w:val="0068707F"/>
    <w:rsid w:val="00690689"/>
    <w:rsid w:val="00691814"/>
    <w:rsid w:val="00691E98"/>
    <w:rsid w:val="006A3A14"/>
    <w:rsid w:val="006A5E0B"/>
    <w:rsid w:val="006B234E"/>
    <w:rsid w:val="006B5121"/>
    <w:rsid w:val="006C05BE"/>
    <w:rsid w:val="006C089E"/>
    <w:rsid w:val="006C251B"/>
    <w:rsid w:val="006C6C5B"/>
    <w:rsid w:val="006C7C1F"/>
    <w:rsid w:val="006D54C2"/>
    <w:rsid w:val="006D5BB3"/>
    <w:rsid w:val="006D78B4"/>
    <w:rsid w:val="006E71ED"/>
    <w:rsid w:val="006F3305"/>
    <w:rsid w:val="006F5076"/>
    <w:rsid w:val="006F5FA4"/>
    <w:rsid w:val="0070306B"/>
    <w:rsid w:val="007110A9"/>
    <w:rsid w:val="0071112D"/>
    <w:rsid w:val="0071550D"/>
    <w:rsid w:val="00716199"/>
    <w:rsid w:val="00716550"/>
    <w:rsid w:val="00716DAE"/>
    <w:rsid w:val="00727EF9"/>
    <w:rsid w:val="007302CC"/>
    <w:rsid w:val="00733FA2"/>
    <w:rsid w:val="00734D86"/>
    <w:rsid w:val="00736070"/>
    <w:rsid w:val="007405B8"/>
    <w:rsid w:val="00740C85"/>
    <w:rsid w:val="00740F86"/>
    <w:rsid w:val="00741096"/>
    <w:rsid w:val="00741214"/>
    <w:rsid w:val="0074677B"/>
    <w:rsid w:val="00764B78"/>
    <w:rsid w:val="00765FAA"/>
    <w:rsid w:val="007804C7"/>
    <w:rsid w:val="00784A4B"/>
    <w:rsid w:val="007902AE"/>
    <w:rsid w:val="00792E91"/>
    <w:rsid w:val="00794EB3"/>
    <w:rsid w:val="00795FDD"/>
    <w:rsid w:val="0079796A"/>
    <w:rsid w:val="007A60B7"/>
    <w:rsid w:val="007A774E"/>
    <w:rsid w:val="007B258A"/>
    <w:rsid w:val="007B3790"/>
    <w:rsid w:val="007B632C"/>
    <w:rsid w:val="007C061D"/>
    <w:rsid w:val="007C11F7"/>
    <w:rsid w:val="007C2418"/>
    <w:rsid w:val="007C2CC9"/>
    <w:rsid w:val="007C3944"/>
    <w:rsid w:val="007C6B16"/>
    <w:rsid w:val="007C7E26"/>
    <w:rsid w:val="007E0E77"/>
    <w:rsid w:val="007E2BA4"/>
    <w:rsid w:val="007E489D"/>
    <w:rsid w:val="007E7667"/>
    <w:rsid w:val="007F0AE0"/>
    <w:rsid w:val="007F26A1"/>
    <w:rsid w:val="007F369A"/>
    <w:rsid w:val="007F7EFD"/>
    <w:rsid w:val="00802A2A"/>
    <w:rsid w:val="00812A95"/>
    <w:rsid w:val="008130F5"/>
    <w:rsid w:val="0081575A"/>
    <w:rsid w:val="00815E4F"/>
    <w:rsid w:val="00820128"/>
    <w:rsid w:val="0082217E"/>
    <w:rsid w:val="00825C27"/>
    <w:rsid w:val="008261A9"/>
    <w:rsid w:val="008278F1"/>
    <w:rsid w:val="00830B70"/>
    <w:rsid w:val="0083291A"/>
    <w:rsid w:val="00834B64"/>
    <w:rsid w:val="00843075"/>
    <w:rsid w:val="00844E59"/>
    <w:rsid w:val="00847F21"/>
    <w:rsid w:val="00850116"/>
    <w:rsid w:val="00855839"/>
    <w:rsid w:val="00855876"/>
    <w:rsid w:val="00855ACF"/>
    <w:rsid w:val="008605B0"/>
    <w:rsid w:val="008621F6"/>
    <w:rsid w:val="00865361"/>
    <w:rsid w:val="00865D23"/>
    <w:rsid w:val="008677C2"/>
    <w:rsid w:val="008765A1"/>
    <w:rsid w:val="00880954"/>
    <w:rsid w:val="00882907"/>
    <w:rsid w:val="0088297F"/>
    <w:rsid w:val="00887118"/>
    <w:rsid w:val="00894F0A"/>
    <w:rsid w:val="00895404"/>
    <w:rsid w:val="00897E50"/>
    <w:rsid w:val="008A2B2E"/>
    <w:rsid w:val="008B02E4"/>
    <w:rsid w:val="008B4C43"/>
    <w:rsid w:val="008B5C73"/>
    <w:rsid w:val="008C014F"/>
    <w:rsid w:val="008C21A1"/>
    <w:rsid w:val="008C2550"/>
    <w:rsid w:val="008C2D21"/>
    <w:rsid w:val="008D1906"/>
    <w:rsid w:val="008D5A66"/>
    <w:rsid w:val="008E06C6"/>
    <w:rsid w:val="008E1CB1"/>
    <w:rsid w:val="008E40EC"/>
    <w:rsid w:val="008E58BD"/>
    <w:rsid w:val="008E6FA0"/>
    <w:rsid w:val="008F0389"/>
    <w:rsid w:val="008F03E8"/>
    <w:rsid w:val="008F0A87"/>
    <w:rsid w:val="008F10F1"/>
    <w:rsid w:val="008F4284"/>
    <w:rsid w:val="00901089"/>
    <w:rsid w:val="00903E7E"/>
    <w:rsid w:val="00906FF7"/>
    <w:rsid w:val="00912806"/>
    <w:rsid w:val="00922934"/>
    <w:rsid w:val="009230E6"/>
    <w:rsid w:val="0093200E"/>
    <w:rsid w:val="009322ED"/>
    <w:rsid w:val="009444D7"/>
    <w:rsid w:val="0094736B"/>
    <w:rsid w:val="00953A1E"/>
    <w:rsid w:val="009550DC"/>
    <w:rsid w:val="0096119C"/>
    <w:rsid w:val="009612EF"/>
    <w:rsid w:val="009754E1"/>
    <w:rsid w:val="0097654E"/>
    <w:rsid w:val="00981304"/>
    <w:rsid w:val="00981DCB"/>
    <w:rsid w:val="0098360B"/>
    <w:rsid w:val="00985C44"/>
    <w:rsid w:val="0099017E"/>
    <w:rsid w:val="00990514"/>
    <w:rsid w:val="00991144"/>
    <w:rsid w:val="009A3B01"/>
    <w:rsid w:val="009A7417"/>
    <w:rsid w:val="009B1D04"/>
    <w:rsid w:val="009C01AF"/>
    <w:rsid w:val="009C4E0B"/>
    <w:rsid w:val="009C6204"/>
    <w:rsid w:val="009C69A9"/>
    <w:rsid w:val="009C76C2"/>
    <w:rsid w:val="009D1DC1"/>
    <w:rsid w:val="009E16D0"/>
    <w:rsid w:val="009E6DE3"/>
    <w:rsid w:val="009E7CF3"/>
    <w:rsid w:val="009F1969"/>
    <w:rsid w:val="009F246B"/>
    <w:rsid w:val="009F4DB3"/>
    <w:rsid w:val="009F52D8"/>
    <w:rsid w:val="009F7428"/>
    <w:rsid w:val="00A01655"/>
    <w:rsid w:val="00A03CB7"/>
    <w:rsid w:val="00A0473F"/>
    <w:rsid w:val="00A05EC0"/>
    <w:rsid w:val="00A066A7"/>
    <w:rsid w:val="00A10370"/>
    <w:rsid w:val="00A162F3"/>
    <w:rsid w:val="00A221E5"/>
    <w:rsid w:val="00A235F5"/>
    <w:rsid w:val="00A26425"/>
    <w:rsid w:val="00A26A2C"/>
    <w:rsid w:val="00A30247"/>
    <w:rsid w:val="00A328AC"/>
    <w:rsid w:val="00A337E1"/>
    <w:rsid w:val="00A34A0C"/>
    <w:rsid w:val="00A35D04"/>
    <w:rsid w:val="00A40724"/>
    <w:rsid w:val="00A40769"/>
    <w:rsid w:val="00A41B66"/>
    <w:rsid w:val="00A43E3F"/>
    <w:rsid w:val="00A52104"/>
    <w:rsid w:val="00A57E16"/>
    <w:rsid w:val="00A6297F"/>
    <w:rsid w:val="00A62BB7"/>
    <w:rsid w:val="00A64A83"/>
    <w:rsid w:val="00A70C60"/>
    <w:rsid w:val="00A720C7"/>
    <w:rsid w:val="00A7252B"/>
    <w:rsid w:val="00A72EF1"/>
    <w:rsid w:val="00A759E5"/>
    <w:rsid w:val="00A814C3"/>
    <w:rsid w:val="00A9460D"/>
    <w:rsid w:val="00AA0969"/>
    <w:rsid w:val="00AA5169"/>
    <w:rsid w:val="00AB2B28"/>
    <w:rsid w:val="00AB7006"/>
    <w:rsid w:val="00AC2367"/>
    <w:rsid w:val="00AC3D0C"/>
    <w:rsid w:val="00AC6630"/>
    <w:rsid w:val="00AC7091"/>
    <w:rsid w:val="00AD32AC"/>
    <w:rsid w:val="00AD686D"/>
    <w:rsid w:val="00AE01A0"/>
    <w:rsid w:val="00AE0C32"/>
    <w:rsid w:val="00AE1C83"/>
    <w:rsid w:val="00AE282B"/>
    <w:rsid w:val="00AE2B39"/>
    <w:rsid w:val="00AE5ECC"/>
    <w:rsid w:val="00AE700A"/>
    <w:rsid w:val="00AE7238"/>
    <w:rsid w:val="00B0043F"/>
    <w:rsid w:val="00B00C3D"/>
    <w:rsid w:val="00B012DD"/>
    <w:rsid w:val="00B071E6"/>
    <w:rsid w:val="00B16F47"/>
    <w:rsid w:val="00B174FB"/>
    <w:rsid w:val="00B1773F"/>
    <w:rsid w:val="00B21907"/>
    <w:rsid w:val="00B302BD"/>
    <w:rsid w:val="00B32041"/>
    <w:rsid w:val="00B324CF"/>
    <w:rsid w:val="00B32592"/>
    <w:rsid w:val="00B34E3C"/>
    <w:rsid w:val="00B401A3"/>
    <w:rsid w:val="00B42854"/>
    <w:rsid w:val="00B435D4"/>
    <w:rsid w:val="00B43E39"/>
    <w:rsid w:val="00B474AB"/>
    <w:rsid w:val="00B518CE"/>
    <w:rsid w:val="00B523C2"/>
    <w:rsid w:val="00B52445"/>
    <w:rsid w:val="00B52D0F"/>
    <w:rsid w:val="00B63CFC"/>
    <w:rsid w:val="00B63FD9"/>
    <w:rsid w:val="00B662BB"/>
    <w:rsid w:val="00B6687E"/>
    <w:rsid w:val="00B66D2D"/>
    <w:rsid w:val="00B74495"/>
    <w:rsid w:val="00B7742E"/>
    <w:rsid w:val="00B83DB3"/>
    <w:rsid w:val="00B8405C"/>
    <w:rsid w:val="00B85630"/>
    <w:rsid w:val="00BA0084"/>
    <w:rsid w:val="00BA09A5"/>
    <w:rsid w:val="00BA3578"/>
    <w:rsid w:val="00BA4887"/>
    <w:rsid w:val="00BA4E57"/>
    <w:rsid w:val="00BB12DF"/>
    <w:rsid w:val="00BB31B0"/>
    <w:rsid w:val="00BB3C7F"/>
    <w:rsid w:val="00BB4CB9"/>
    <w:rsid w:val="00BB5E25"/>
    <w:rsid w:val="00BB6D26"/>
    <w:rsid w:val="00BB71B1"/>
    <w:rsid w:val="00BB72D2"/>
    <w:rsid w:val="00BC759E"/>
    <w:rsid w:val="00BD1D3D"/>
    <w:rsid w:val="00BD32DF"/>
    <w:rsid w:val="00BD3C3A"/>
    <w:rsid w:val="00BD3DC0"/>
    <w:rsid w:val="00BD40E8"/>
    <w:rsid w:val="00BD7BCB"/>
    <w:rsid w:val="00BE6CFD"/>
    <w:rsid w:val="00BF0453"/>
    <w:rsid w:val="00BF2540"/>
    <w:rsid w:val="00BF3160"/>
    <w:rsid w:val="00BF4955"/>
    <w:rsid w:val="00C00320"/>
    <w:rsid w:val="00C04A0E"/>
    <w:rsid w:val="00C050F5"/>
    <w:rsid w:val="00C06D66"/>
    <w:rsid w:val="00C10716"/>
    <w:rsid w:val="00C10905"/>
    <w:rsid w:val="00C10D67"/>
    <w:rsid w:val="00C10F0D"/>
    <w:rsid w:val="00C150E0"/>
    <w:rsid w:val="00C17FFA"/>
    <w:rsid w:val="00C209CA"/>
    <w:rsid w:val="00C213CF"/>
    <w:rsid w:val="00C21469"/>
    <w:rsid w:val="00C2622B"/>
    <w:rsid w:val="00C27D9E"/>
    <w:rsid w:val="00C334AE"/>
    <w:rsid w:val="00C34BFA"/>
    <w:rsid w:val="00C3612A"/>
    <w:rsid w:val="00C36CE3"/>
    <w:rsid w:val="00C43484"/>
    <w:rsid w:val="00C43AB4"/>
    <w:rsid w:val="00C44EC0"/>
    <w:rsid w:val="00C45A9C"/>
    <w:rsid w:val="00C50B8A"/>
    <w:rsid w:val="00C52188"/>
    <w:rsid w:val="00C523C3"/>
    <w:rsid w:val="00C60417"/>
    <w:rsid w:val="00C63993"/>
    <w:rsid w:val="00C76617"/>
    <w:rsid w:val="00C82378"/>
    <w:rsid w:val="00C83E7F"/>
    <w:rsid w:val="00C85522"/>
    <w:rsid w:val="00C86163"/>
    <w:rsid w:val="00CA2D34"/>
    <w:rsid w:val="00CA3C1E"/>
    <w:rsid w:val="00CA5A1B"/>
    <w:rsid w:val="00CC0EFB"/>
    <w:rsid w:val="00CC69E2"/>
    <w:rsid w:val="00CD0C87"/>
    <w:rsid w:val="00CD47B8"/>
    <w:rsid w:val="00CE26AB"/>
    <w:rsid w:val="00CE7641"/>
    <w:rsid w:val="00CF7372"/>
    <w:rsid w:val="00D0578B"/>
    <w:rsid w:val="00D126A0"/>
    <w:rsid w:val="00D17B93"/>
    <w:rsid w:val="00D21359"/>
    <w:rsid w:val="00D22839"/>
    <w:rsid w:val="00D260FA"/>
    <w:rsid w:val="00D27B58"/>
    <w:rsid w:val="00D27CC1"/>
    <w:rsid w:val="00D31030"/>
    <w:rsid w:val="00D31814"/>
    <w:rsid w:val="00D334E3"/>
    <w:rsid w:val="00D4048F"/>
    <w:rsid w:val="00D473D9"/>
    <w:rsid w:val="00D4765F"/>
    <w:rsid w:val="00D50265"/>
    <w:rsid w:val="00D5566C"/>
    <w:rsid w:val="00D610B4"/>
    <w:rsid w:val="00D74675"/>
    <w:rsid w:val="00D76F68"/>
    <w:rsid w:val="00D83B93"/>
    <w:rsid w:val="00D8449E"/>
    <w:rsid w:val="00D84F5E"/>
    <w:rsid w:val="00D86D47"/>
    <w:rsid w:val="00D8728A"/>
    <w:rsid w:val="00D87832"/>
    <w:rsid w:val="00D87DCE"/>
    <w:rsid w:val="00D949C0"/>
    <w:rsid w:val="00DA6CF1"/>
    <w:rsid w:val="00DA74D7"/>
    <w:rsid w:val="00DA78E1"/>
    <w:rsid w:val="00DB2256"/>
    <w:rsid w:val="00DB2DD7"/>
    <w:rsid w:val="00DB3AA3"/>
    <w:rsid w:val="00DB439A"/>
    <w:rsid w:val="00DB4D0F"/>
    <w:rsid w:val="00DB5781"/>
    <w:rsid w:val="00DC4DC2"/>
    <w:rsid w:val="00DC55AD"/>
    <w:rsid w:val="00DD02F8"/>
    <w:rsid w:val="00DD05C9"/>
    <w:rsid w:val="00DD09AC"/>
    <w:rsid w:val="00DD0C8C"/>
    <w:rsid w:val="00DD1B6A"/>
    <w:rsid w:val="00DD3609"/>
    <w:rsid w:val="00DD38ED"/>
    <w:rsid w:val="00DD52DA"/>
    <w:rsid w:val="00DE1EA2"/>
    <w:rsid w:val="00DE45FA"/>
    <w:rsid w:val="00DF134D"/>
    <w:rsid w:val="00DF207B"/>
    <w:rsid w:val="00DF3051"/>
    <w:rsid w:val="00DF3B3D"/>
    <w:rsid w:val="00DF4F04"/>
    <w:rsid w:val="00DF548F"/>
    <w:rsid w:val="00DF6D08"/>
    <w:rsid w:val="00E008E5"/>
    <w:rsid w:val="00E04286"/>
    <w:rsid w:val="00E05E94"/>
    <w:rsid w:val="00E1248E"/>
    <w:rsid w:val="00E13BBA"/>
    <w:rsid w:val="00E13CF4"/>
    <w:rsid w:val="00E14155"/>
    <w:rsid w:val="00E17012"/>
    <w:rsid w:val="00E225F8"/>
    <w:rsid w:val="00E2796C"/>
    <w:rsid w:val="00E302B6"/>
    <w:rsid w:val="00E31099"/>
    <w:rsid w:val="00E3415C"/>
    <w:rsid w:val="00E369C1"/>
    <w:rsid w:val="00E42865"/>
    <w:rsid w:val="00E42A2F"/>
    <w:rsid w:val="00E44F43"/>
    <w:rsid w:val="00E4500B"/>
    <w:rsid w:val="00E47B71"/>
    <w:rsid w:val="00E55580"/>
    <w:rsid w:val="00E56DFD"/>
    <w:rsid w:val="00E57C46"/>
    <w:rsid w:val="00E658CA"/>
    <w:rsid w:val="00E67515"/>
    <w:rsid w:val="00E7303E"/>
    <w:rsid w:val="00E73A19"/>
    <w:rsid w:val="00E74522"/>
    <w:rsid w:val="00E766A1"/>
    <w:rsid w:val="00E77832"/>
    <w:rsid w:val="00E90A3D"/>
    <w:rsid w:val="00E931EA"/>
    <w:rsid w:val="00E93CAF"/>
    <w:rsid w:val="00E96E77"/>
    <w:rsid w:val="00E96FA9"/>
    <w:rsid w:val="00E97162"/>
    <w:rsid w:val="00E9726A"/>
    <w:rsid w:val="00E97A3D"/>
    <w:rsid w:val="00EA38C1"/>
    <w:rsid w:val="00EB1D88"/>
    <w:rsid w:val="00EB6074"/>
    <w:rsid w:val="00EB6DE3"/>
    <w:rsid w:val="00EC09E1"/>
    <w:rsid w:val="00EC3E63"/>
    <w:rsid w:val="00EC7D32"/>
    <w:rsid w:val="00ED78E9"/>
    <w:rsid w:val="00EE04A4"/>
    <w:rsid w:val="00EE237A"/>
    <w:rsid w:val="00EE4D82"/>
    <w:rsid w:val="00EE6FDF"/>
    <w:rsid w:val="00EE7D30"/>
    <w:rsid w:val="00EF3D7D"/>
    <w:rsid w:val="00EF5CAD"/>
    <w:rsid w:val="00EF7E36"/>
    <w:rsid w:val="00F0163E"/>
    <w:rsid w:val="00F02D28"/>
    <w:rsid w:val="00F07351"/>
    <w:rsid w:val="00F13C5C"/>
    <w:rsid w:val="00F1430D"/>
    <w:rsid w:val="00F21571"/>
    <w:rsid w:val="00F22AE2"/>
    <w:rsid w:val="00F333F9"/>
    <w:rsid w:val="00F377B5"/>
    <w:rsid w:val="00F40340"/>
    <w:rsid w:val="00F421E4"/>
    <w:rsid w:val="00F42236"/>
    <w:rsid w:val="00F42D49"/>
    <w:rsid w:val="00F55FB3"/>
    <w:rsid w:val="00F62298"/>
    <w:rsid w:val="00F6657C"/>
    <w:rsid w:val="00F74755"/>
    <w:rsid w:val="00F81396"/>
    <w:rsid w:val="00F8322D"/>
    <w:rsid w:val="00F974A6"/>
    <w:rsid w:val="00F97D4D"/>
    <w:rsid w:val="00FA1565"/>
    <w:rsid w:val="00FA2BCC"/>
    <w:rsid w:val="00FA2F83"/>
    <w:rsid w:val="00FA306D"/>
    <w:rsid w:val="00FA3C57"/>
    <w:rsid w:val="00FA427E"/>
    <w:rsid w:val="00FB1540"/>
    <w:rsid w:val="00FB20D3"/>
    <w:rsid w:val="00FB5FF8"/>
    <w:rsid w:val="00FC4F37"/>
    <w:rsid w:val="00FC77C9"/>
    <w:rsid w:val="00FC7D4A"/>
    <w:rsid w:val="00FD042E"/>
    <w:rsid w:val="00FD51ED"/>
    <w:rsid w:val="00FE0315"/>
    <w:rsid w:val="00FE4F97"/>
    <w:rsid w:val="00FE6E78"/>
    <w:rsid w:val="00FF0EC1"/>
    <w:rsid w:val="00FF4F79"/>
    <w:rsid w:val="00FF7EA4"/>
    <w:rsid w:val="020224D7"/>
    <w:rsid w:val="023460A6"/>
    <w:rsid w:val="024837DC"/>
    <w:rsid w:val="03CC4C92"/>
    <w:rsid w:val="08162951"/>
    <w:rsid w:val="08B70022"/>
    <w:rsid w:val="0B6F693F"/>
    <w:rsid w:val="0BD35ED7"/>
    <w:rsid w:val="0E9834E7"/>
    <w:rsid w:val="12F901BB"/>
    <w:rsid w:val="162C7D4E"/>
    <w:rsid w:val="17B05613"/>
    <w:rsid w:val="18C96881"/>
    <w:rsid w:val="19A744E9"/>
    <w:rsid w:val="1B3378BF"/>
    <w:rsid w:val="1DC652EE"/>
    <w:rsid w:val="228757E3"/>
    <w:rsid w:val="239F2B36"/>
    <w:rsid w:val="272B021E"/>
    <w:rsid w:val="29155083"/>
    <w:rsid w:val="2DB9081B"/>
    <w:rsid w:val="312D39F9"/>
    <w:rsid w:val="31951FFC"/>
    <w:rsid w:val="378514F0"/>
    <w:rsid w:val="3A736762"/>
    <w:rsid w:val="3B325495"/>
    <w:rsid w:val="3CDC7886"/>
    <w:rsid w:val="3E277A3A"/>
    <w:rsid w:val="40463B8E"/>
    <w:rsid w:val="407D40EC"/>
    <w:rsid w:val="40E53121"/>
    <w:rsid w:val="46DF6B9F"/>
    <w:rsid w:val="48B5284B"/>
    <w:rsid w:val="4D9C5E42"/>
    <w:rsid w:val="4E345F3C"/>
    <w:rsid w:val="52A95641"/>
    <w:rsid w:val="568F3E9E"/>
    <w:rsid w:val="576D0D9E"/>
    <w:rsid w:val="57A04676"/>
    <w:rsid w:val="58CD4279"/>
    <w:rsid w:val="592E1814"/>
    <w:rsid w:val="5FF13CC0"/>
    <w:rsid w:val="604C617D"/>
    <w:rsid w:val="666A175E"/>
    <w:rsid w:val="66EF1FB4"/>
    <w:rsid w:val="68810D31"/>
    <w:rsid w:val="6CA50DC9"/>
    <w:rsid w:val="6CFB6830"/>
    <w:rsid w:val="732E0D6E"/>
    <w:rsid w:val="75FB6C5A"/>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21D"/>
  <w15:docId w15:val="{569C9271-9E7F-4C9E-8096-5C886C6C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qFormat="1"/>
    <w:lsdException w:name="caption" w:semiHidden="1" w:unhideWhenUsed="1" w:qFormat="1"/>
    <w:lsdException w:name="page number" w:qFormat="1"/>
    <w:lsdException w:name="List" w:qFormat="1"/>
    <w:lsdException w:name="List 2" w:qFormat="1"/>
    <w:lsdException w:name="Title" w:qFormat="1"/>
    <w:lsdException w:name="Default Paragraph Font"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rFonts w:eastAsia="MS Mincho"/>
    </w:rPr>
  </w:style>
  <w:style w:type="paragraph" w:styleId="20">
    <w:name w:val="List 2"/>
    <w:basedOn w:val="a"/>
    <w:qFormat/>
    <w:pPr>
      <w:ind w:leftChars="200" w:left="100" w:hangingChars="200" w:hanging="200"/>
      <w:contextualSpacing/>
    </w:pPr>
  </w:style>
  <w:style w:type="paragraph" w:styleId="a4">
    <w:name w:val="footer"/>
    <w:basedOn w:val="a5"/>
    <w:qFormat/>
    <w:pPr>
      <w:widowControl w:val="0"/>
      <w:pBdr>
        <w:bottom w:val="none" w:sz="0" w:space="0" w:color="auto"/>
      </w:pBdr>
      <w:snapToGrid/>
      <w:spacing w:after="0" w:line="288" w:lineRule="auto"/>
    </w:pPr>
    <w:rPr>
      <w:rFonts w:ascii="Arial" w:hAnsi="Arial"/>
      <w:b/>
      <w:bCs/>
      <w:i/>
      <w:iCs/>
      <w:lang w:val="zh-CN"/>
    </w:rPr>
  </w:style>
  <w:style w:type="paragraph" w:styleId="a5">
    <w:name w:val="header"/>
    <w:basedOn w:val="a"/>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6">
    <w:name w:val="List"/>
    <w:basedOn w:val="a"/>
    <w:qFormat/>
    <w:pPr>
      <w:ind w:left="200" w:hangingChars="200" w:hanging="200"/>
      <w:contextualSpacing/>
    </w:p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character" w:styleId="a9">
    <w:name w:val="Hyperlink"/>
    <w:basedOn w:val="a0"/>
    <w:qFormat/>
    <w:rPr>
      <w:color w:val="0000FF"/>
      <w:u w:val="single"/>
    </w:rPr>
  </w:style>
  <w:style w:type="paragraph" w:customStyle="1" w:styleId="Doc-text2">
    <w:name w:val="Doc-text2"/>
    <w:basedOn w:val="a"/>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a">
    <w:name w:val="List Paragraph"/>
    <w:basedOn w:val="a"/>
    <w:uiPriority w:val="34"/>
    <w:qFormat/>
    <w:pPr>
      <w:ind w:left="720"/>
      <w:contextualSpacing/>
    </w:pPr>
  </w:style>
  <w:style w:type="paragraph" w:customStyle="1" w:styleId="Reference">
    <w:name w:val="Reference"/>
    <w:basedOn w:val="a3"/>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6"/>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qFormat/>
    <w:pPr>
      <w:keepLines/>
      <w:ind w:left="1135" w:hanging="851"/>
    </w:pPr>
  </w:style>
  <w:style w:type="paragraph" w:customStyle="1" w:styleId="B2">
    <w:name w:val="B2"/>
    <w:basedOn w:val="20"/>
    <w:qFormat/>
    <w:pPr>
      <w:spacing w:before="100" w:beforeAutospacing="1" w:after="180" w:line="240" w:lineRule="auto"/>
      <w:ind w:leftChars="0" w:left="851" w:firstLineChars="0" w:hanging="284"/>
      <w:contextualSpacing w:val="0"/>
      <w:jc w:val="left"/>
    </w:pPr>
    <w:rPr>
      <w:sz w:val="24"/>
      <w:szCs w:val="24"/>
      <w:lang w:val="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
    <w:link w:val="THChar"/>
    <w:qFormat/>
    <w:pPr>
      <w:keepNext/>
      <w:keepLines/>
      <w:spacing w:before="60" w:after="180" w:line="240" w:lineRule="auto"/>
      <w:jc w:val="center"/>
    </w:pPr>
    <w:rPr>
      <w:rFonts w:ascii="Arial" w:eastAsia="Times New Roman" w:hAnsi="Arial"/>
      <w:b/>
      <w:sz w:val="20"/>
      <w:lang w:eastAsia="ja-JP"/>
    </w:rPr>
  </w:style>
  <w:style w:type="character" w:customStyle="1" w:styleId="THChar">
    <w:name w:val="TH Char"/>
    <w:link w:val="TH"/>
    <w:qFormat/>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2700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AB072-3EAD-49EA-9CC6-EE8B76F8A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3</Pages>
  <Words>953</Words>
  <Characters>5437</Characters>
  <Application>Microsoft Office Word</Application>
  <DocSecurity>0</DocSecurity>
  <Lines>45</Lines>
  <Paragraphs>12</Paragraphs>
  <ScaleCrop>false</ScaleCrop>
  <Company/>
  <LinksUpToDate>false</LinksUpToDate>
  <CharactersWithSpaces>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Liuxiaofei-Xiaomi</cp:lastModifiedBy>
  <cp:revision>761</cp:revision>
  <dcterms:created xsi:type="dcterms:W3CDTF">2022-02-09T06:08:00Z</dcterms:created>
  <dcterms:modified xsi:type="dcterms:W3CDTF">2022-11-04T06:14:00Z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